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DE2" w:rsidRDefault="00B96DE2" w:rsidP="00B96DE2">
      <w:pPr>
        <w:rPr>
          <w:rFonts w:ascii="Times New Roman" w:hAnsi="Times New Roman"/>
        </w:rPr>
      </w:pPr>
      <w:bookmarkStart w:id="0" w:name="_GoBack"/>
      <w:bookmarkEnd w:id="0"/>
    </w:p>
    <w:p w:rsidR="00B96DE2" w:rsidRDefault="00B96DE2" w:rsidP="00B96DE2">
      <w:pPr>
        <w:rPr>
          <w:rFonts w:ascii="Times New Roman" w:hAnsi="Times New Roman"/>
        </w:rPr>
      </w:pPr>
    </w:p>
    <w:p w:rsidR="00B96DE2" w:rsidRDefault="00B96DE2" w:rsidP="00B96DE2">
      <w:pPr>
        <w:rPr>
          <w:rFonts w:ascii="Times New Roman" w:hAnsi="Times New Roman"/>
        </w:rPr>
      </w:pPr>
    </w:p>
    <w:p w:rsidR="00B96DE2" w:rsidRDefault="00B96DE2" w:rsidP="00B96DE2">
      <w:pPr>
        <w:rPr>
          <w:rFonts w:ascii="Times New Roman" w:hAnsi="Times New Roman"/>
        </w:rPr>
      </w:pPr>
    </w:p>
    <w:p w:rsidR="00B96DE2" w:rsidRDefault="00B96DE2" w:rsidP="00B96DE2">
      <w:pPr>
        <w:rPr>
          <w:rFonts w:ascii="Times New Roman" w:hAnsi="Times New Roman"/>
        </w:rPr>
      </w:pPr>
    </w:p>
    <w:p w:rsidR="00B96DE2" w:rsidRDefault="00B96DE2" w:rsidP="00B96DE2">
      <w:pPr>
        <w:rPr>
          <w:rFonts w:ascii="Times New Roman" w:hAnsi="Times New Roman"/>
          <w:sz w:val="32"/>
          <w:szCs w:val="32"/>
        </w:rPr>
      </w:pPr>
    </w:p>
    <w:p w:rsidR="00B96DE2" w:rsidRPr="00146740" w:rsidRDefault="00B96DE2" w:rsidP="00B96DE2">
      <w:pPr>
        <w:rPr>
          <w:rFonts w:ascii="Times New Roman" w:hAnsi="Times New Roman"/>
          <w:sz w:val="32"/>
          <w:szCs w:val="32"/>
        </w:rPr>
      </w:pPr>
    </w:p>
    <w:p w:rsidR="00B96DE2" w:rsidRPr="00146740" w:rsidRDefault="00B96DE2" w:rsidP="00B96DE2">
      <w:pPr>
        <w:rPr>
          <w:rFonts w:ascii="Times New Roman" w:hAnsi="Times New Roman"/>
          <w:sz w:val="32"/>
          <w:szCs w:val="32"/>
        </w:rPr>
      </w:pPr>
    </w:p>
    <w:p w:rsidR="00B96DE2" w:rsidRPr="00B96DE2" w:rsidRDefault="00B96DE2" w:rsidP="00B96DE2">
      <w:pPr>
        <w:jc w:val="center"/>
        <w:rPr>
          <w:rFonts w:ascii="Times New Roman" w:hAnsi="Times New Roman"/>
          <w:b/>
          <w:color w:val="008000"/>
          <w:sz w:val="36"/>
          <w:szCs w:val="36"/>
        </w:rPr>
      </w:pPr>
      <w:r w:rsidRPr="00B96DE2">
        <w:rPr>
          <w:rFonts w:ascii="Times New Roman" w:hAnsi="Times New Roman"/>
          <w:b/>
          <w:color w:val="008000"/>
          <w:sz w:val="36"/>
          <w:szCs w:val="36"/>
        </w:rPr>
        <w:t>VIVIENDA ASEQUIBLE EN ANDALUCÍA</w:t>
      </w:r>
    </w:p>
    <w:p w:rsidR="00B96DE2" w:rsidRPr="00146740" w:rsidRDefault="00B96DE2" w:rsidP="00B96DE2">
      <w:pPr>
        <w:rPr>
          <w:rFonts w:ascii="Times New Roman" w:hAnsi="Times New Roman"/>
          <w:b/>
          <w:color w:val="008000"/>
          <w:sz w:val="32"/>
          <w:szCs w:val="32"/>
        </w:rPr>
      </w:pPr>
    </w:p>
    <w:p w:rsidR="00B96DE2" w:rsidRPr="00146740" w:rsidRDefault="00B96DE2" w:rsidP="00B96DE2">
      <w:pPr>
        <w:rPr>
          <w:rFonts w:ascii="Times New Roman" w:hAnsi="Times New Roman"/>
          <w:b/>
          <w:color w:val="008000"/>
          <w:sz w:val="32"/>
          <w:szCs w:val="32"/>
        </w:rPr>
      </w:pPr>
    </w:p>
    <w:p w:rsidR="00B96DE2" w:rsidRPr="009308FA" w:rsidRDefault="00B96DE2" w:rsidP="00B96DE2">
      <w:pPr>
        <w:rPr>
          <w:rFonts w:ascii="Times New Roman" w:hAnsi="Times New Roman"/>
          <w:b/>
          <w:color w:val="008000"/>
        </w:rPr>
      </w:pPr>
    </w:p>
    <w:p w:rsidR="00B96DE2" w:rsidRDefault="00B96DE2">
      <w:pPr>
        <w:rPr>
          <w:b/>
          <w:sz w:val="24"/>
          <w:szCs w:val="24"/>
        </w:rPr>
      </w:pPr>
      <w:r>
        <w:rPr>
          <w:b/>
          <w:sz w:val="24"/>
          <w:szCs w:val="24"/>
        </w:rPr>
        <w:br w:type="page"/>
      </w:r>
    </w:p>
    <w:p w:rsidR="00B96DE2" w:rsidRDefault="00B96DE2">
      <w:pPr>
        <w:rPr>
          <w:b/>
          <w:sz w:val="24"/>
          <w:szCs w:val="24"/>
        </w:rPr>
      </w:pPr>
    </w:p>
    <w:p w:rsidR="0074667E" w:rsidRPr="00FB0D12" w:rsidRDefault="00FB0D12" w:rsidP="005E07B6">
      <w:pPr>
        <w:jc w:val="both"/>
        <w:rPr>
          <w:b/>
          <w:sz w:val="24"/>
          <w:szCs w:val="24"/>
        </w:rPr>
      </w:pPr>
      <w:r>
        <w:rPr>
          <w:b/>
          <w:sz w:val="24"/>
          <w:szCs w:val="24"/>
        </w:rPr>
        <w:t>I.</w:t>
      </w:r>
      <w:r w:rsidRPr="00FB0D12">
        <w:rPr>
          <w:b/>
          <w:sz w:val="24"/>
          <w:szCs w:val="24"/>
        </w:rPr>
        <w:t>VIVIENDA ASEQUIBLE EN ANDALUCÍA</w:t>
      </w:r>
    </w:p>
    <w:p w:rsidR="00184351" w:rsidRDefault="005E07B6" w:rsidP="005E07B6">
      <w:pPr>
        <w:jc w:val="both"/>
        <w:rPr>
          <w:sz w:val="24"/>
          <w:szCs w:val="24"/>
        </w:rPr>
      </w:pPr>
      <w:r>
        <w:rPr>
          <w:sz w:val="24"/>
          <w:szCs w:val="24"/>
        </w:rPr>
        <w:t>El acceso a la vivienda es una de las principales cuestiones a las que deben atender las administraciones públicas en el ejercicio de sus competencias. En este sentido, la promoción y el fomento del acceso a la vivienda protegida, adecuada y a precio asequible debe ser uno de sus objetivos prioritarios, máxime teniendo en cuenta el actual contexto de precios elevados, encarecimiento de la financiación y de los costes de construcción.</w:t>
      </w:r>
    </w:p>
    <w:p w:rsidR="004F0FF3" w:rsidRDefault="004F0FF3">
      <w:pPr>
        <w:rPr>
          <w:b/>
          <w:sz w:val="24"/>
          <w:szCs w:val="24"/>
        </w:rPr>
      </w:pPr>
    </w:p>
    <w:p w:rsidR="00FB0D12" w:rsidRDefault="00FB0D12">
      <w:pPr>
        <w:rPr>
          <w:b/>
          <w:sz w:val="24"/>
          <w:szCs w:val="24"/>
        </w:rPr>
      </w:pPr>
      <w:r w:rsidRPr="00E53F3F">
        <w:rPr>
          <w:b/>
          <w:sz w:val="24"/>
          <w:szCs w:val="24"/>
        </w:rPr>
        <w:t xml:space="preserve">I.1. </w:t>
      </w:r>
      <w:r w:rsidR="00E53F3F" w:rsidRPr="00E53F3F">
        <w:rPr>
          <w:b/>
          <w:sz w:val="24"/>
          <w:szCs w:val="24"/>
        </w:rPr>
        <w:t>Trayectoria reciente y situación actual</w:t>
      </w:r>
    </w:p>
    <w:p w:rsidR="00184351" w:rsidRPr="00184351" w:rsidRDefault="00184351" w:rsidP="00184351">
      <w:pPr>
        <w:jc w:val="both"/>
      </w:pPr>
      <w:r w:rsidRPr="00FB1A93">
        <w:t xml:space="preserve">En el último decenio, la construcción de viviendas ha evolucionado a un ritmo inferior a la demanda. Entre 2014 y 2022, se </w:t>
      </w:r>
      <w:r w:rsidR="0033332E" w:rsidRPr="00FB1A93">
        <w:t xml:space="preserve">terminaron </w:t>
      </w:r>
      <w:r w:rsidRPr="00FB1A93">
        <w:t xml:space="preserve">en promedio alrededor de </w:t>
      </w:r>
      <w:r w:rsidR="0033332E" w:rsidRPr="00FB1A93">
        <w:t>68</w:t>
      </w:r>
      <w:r w:rsidRPr="00FB1A93">
        <w:t>.000 viviendas anuales en España, mientras que los nuevos hogares que se formaron anualmente superaron las 100.000 unidades</w:t>
      </w:r>
      <w:r w:rsidR="0033332E" w:rsidRPr="00FB1A93">
        <w:t xml:space="preserve"> en promedio</w:t>
      </w:r>
      <w:r w:rsidRPr="00FB1A93">
        <w:t xml:space="preserve">. En Andalucía, la contracción sufrida por la oferta ha sido similar a la del conjunto nacional, registrándose </w:t>
      </w:r>
      <w:r w:rsidR="0033332E" w:rsidRPr="00FB1A93">
        <w:t xml:space="preserve">de media </w:t>
      </w:r>
      <w:r w:rsidRPr="00FB1A93">
        <w:t>menos de 1</w:t>
      </w:r>
      <w:r w:rsidR="0033332E" w:rsidRPr="00FB1A93">
        <w:t>1</w:t>
      </w:r>
      <w:r w:rsidRPr="00FB1A93">
        <w:t>.</w:t>
      </w:r>
      <w:r w:rsidR="0033332E" w:rsidRPr="00FB1A93">
        <w:t>1</w:t>
      </w:r>
      <w:r w:rsidRPr="00FB1A93">
        <w:t xml:space="preserve">00 viviendas </w:t>
      </w:r>
      <w:r w:rsidR="0033332E" w:rsidRPr="00FB1A93">
        <w:t xml:space="preserve">terminadas </w:t>
      </w:r>
      <w:r w:rsidRPr="00FB1A93">
        <w:t>anuales en la última década,</w:t>
      </w:r>
      <w:r w:rsidR="001C1927" w:rsidRPr="00FB1A93">
        <w:t xml:space="preserve"> </w:t>
      </w:r>
      <w:r w:rsidR="00FB1A93" w:rsidRPr="00FB1A93">
        <w:t>frente a 21.000 nuevos hogares en promedio</w:t>
      </w:r>
      <w:r w:rsidRPr="00FB1A93">
        <w:t>.</w:t>
      </w:r>
      <w:r w:rsidRPr="00184351">
        <w:t xml:space="preserve"> </w:t>
      </w:r>
    </w:p>
    <w:p w:rsidR="00184351" w:rsidRPr="00184351" w:rsidRDefault="00184351" w:rsidP="00184351">
      <w:pPr>
        <w:jc w:val="both"/>
      </w:pPr>
      <w:r w:rsidRPr="00184351">
        <w:t xml:space="preserve">En este contexto, en los últimos años se habría agravado el problema de acceso a la vivienda, especialmente entre los jóvenes, convirtiéndose en uno de los principales temas de debate público. Estas dificultades de acceso a la vivienda tienen además implicaciones en el mercado laboral o la movilidad, y en el caso de los jóvenes puede ser un factor explicativo del aumento de la edad de emancipación (en España supera los 30 años, por encima del promedio comunitario), así como de la baja tasa de natalidad. </w:t>
      </w:r>
    </w:p>
    <w:p w:rsidR="00184351" w:rsidRPr="00E53F3F" w:rsidRDefault="00184351">
      <w:pPr>
        <w:rPr>
          <w:b/>
          <w:sz w:val="24"/>
          <w:szCs w:val="24"/>
        </w:rPr>
      </w:pPr>
    </w:p>
    <w:p w:rsidR="009C397F" w:rsidRPr="009C397F" w:rsidRDefault="009C397F">
      <w:pPr>
        <w:rPr>
          <w:b/>
        </w:rPr>
      </w:pPr>
      <w:r w:rsidRPr="009C397F">
        <w:rPr>
          <w:b/>
        </w:rPr>
        <w:t>I.1.</w:t>
      </w:r>
      <w:r>
        <w:rPr>
          <w:b/>
        </w:rPr>
        <w:t>1</w:t>
      </w:r>
      <w:r w:rsidRPr="009C397F">
        <w:rPr>
          <w:b/>
        </w:rPr>
        <w:t>. Parque de viviendas y producción</w:t>
      </w:r>
    </w:p>
    <w:p w:rsidR="000E0D3D" w:rsidRDefault="000E0D3D" w:rsidP="000E0D3D">
      <w:pPr>
        <w:jc w:val="both"/>
      </w:pPr>
      <w:r w:rsidRPr="007A1E09">
        <w:t xml:space="preserve">En Andalucía, el </w:t>
      </w:r>
      <w:r w:rsidRPr="003565A9">
        <w:rPr>
          <w:i/>
        </w:rPr>
        <w:t>parque de vivienda familiar</w:t>
      </w:r>
      <w:r>
        <w:rPr>
          <w:rStyle w:val="Refdenotaalpie"/>
        </w:rPr>
        <w:footnoteReference w:id="1"/>
      </w:r>
      <w:r w:rsidRPr="007A1E09">
        <w:t xml:space="preserve"> se ha incrementado notablemente desde el año 2000</w:t>
      </w:r>
      <w:r>
        <w:t>, a tenor de los datos del Observatorio de Vivienda y Suelo del Ministerio de Vivienda y Agenda Urbana</w:t>
      </w:r>
      <w:r w:rsidRPr="007A1E09">
        <w:t xml:space="preserve">. Atendiendo a los datos del censo de 2021, el parque de viviendas </w:t>
      </w:r>
      <w:r>
        <w:t>andaluz superaba los 4,6 millones de</w:t>
      </w:r>
      <w:r w:rsidRPr="007A1E09">
        <w:t xml:space="preserve"> inmuebles, </w:t>
      </w:r>
      <w:r>
        <w:t xml:space="preserve">la comunidad española con mayor número de viviendas, con </w:t>
      </w:r>
      <w:r w:rsidRPr="007A1E09">
        <w:t>casi el 18% del parque total estimado en España. Esta cuantía supone un incremento del 7,4% respecto al dato del censo de 2011</w:t>
      </w:r>
      <w:r>
        <w:t>, tasa superior a la del conjunto nacional (5,6%). Si comparamos con los datos de 2001, en Andalucía, el parque de vivienda ha crecido en torno a un tercio (</w:t>
      </w:r>
      <w:r w:rsidRPr="007A1E09">
        <w:t>32,4%</w:t>
      </w:r>
      <w:r>
        <w:t xml:space="preserve">; 27,1% en el agregado nacional). </w:t>
      </w:r>
      <w:r w:rsidRPr="007A1E09">
        <w:t xml:space="preserve"> </w:t>
      </w:r>
    </w:p>
    <w:p w:rsidR="000E0D3D" w:rsidRDefault="000E0D3D" w:rsidP="000E0D3D">
      <w:pPr>
        <w:jc w:val="both"/>
      </w:pPr>
      <w:r>
        <w:t xml:space="preserve">Atendiendo a la </w:t>
      </w:r>
      <w:r w:rsidRPr="003565A9">
        <w:rPr>
          <w:i/>
        </w:rPr>
        <w:t>clasificación funcional</w:t>
      </w:r>
      <w:r>
        <w:t xml:space="preserve"> del parque de vivienda, en Andalucía, en torno al 70% corresponde a vivienda principal, según el censo de 2021, similar porcentaje al registrado en España, en tanto que el 30% restante correspondía a vivienda no principal. En términos comparativos, entre 2001 y 2021 el crecimiento de la vivienda principal en Andalucía ha sido </w:t>
      </w:r>
      <w:r w:rsidRPr="00004990">
        <w:t>más moderado (5,0%), mientras que la no princ</w:t>
      </w:r>
      <w:r>
        <w:t>ipal ha aumentado en torno a un</w:t>
      </w:r>
      <w:r w:rsidRPr="00004990">
        <w:t xml:space="preserve"> 13%. </w:t>
      </w:r>
    </w:p>
    <w:p w:rsidR="000E0D3D" w:rsidRDefault="000E0D3D">
      <w:r>
        <w:br w:type="page"/>
      </w:r>
    </w:p>
    <w:p w:rsidR="000E0D3D" w:rsidRDefault="000E0D3D" w:rsidP="000E0D3D">
      <w:pPr>
        <w:jc w:val="both"/>
      </w:pPr>
    </w:p>
    <w:tbl>
      <w:tblPr>
        <w:tblW w:w="8505" w:type="dxa"/>
        <w:tblBorders>
          <w:top w:val="single" w:sz="2" w:space="0" w:color="70AD47" w:themeColor="accent6"/>
        </w:tblBorders>
        <w:tblCellMar>
          <w:left w:w="70" w:type="dxa"/>
          <w:right w:w="70" w:type="dxa"/>
        </w:tblCellMar>
        <w:tblLook w:val="04A0" w:firstRow="1" w:lastRow="0" w:firstColumn="1" w:lastColumn="0" w:noHBand="0" w:noVBand="1"/>
      </w:tblPr>
      <w:tblGrid>
        <w:gridCol w:w="1697"/>
        <w:gridCol w:w="1170"/>
        <w:gridCol w:w="1126"/>
        <w:gridCol w:w="1126"/>
        <w:gridCol w:w="991"/>
        <w:gridCol w:w="529"/>
        <w:gridCol w:w="991"/>
        <w:gridCol w:w="876"/>
      </w:tblGrid>
      <w:tr w:rsidR="000E0D3D" w:rsidRPr="00BD6246" w:rsidTr="0085444A">
        <w:tc>
          <w:tcPr>
            <w:tcW w:w="8505" w:type="dxa"/>
            <w:gridSpan w:val="8"/>
            <w:shd w:val="clear" w:color="auto" w:fill="auto"/>
            <w:noWrap/>
            <w:vAlign w:val="bottom"/>
            <w:hideMark/>
          </w:tcPr>
          <w:p w:rsidR="000E0D3D" w:rsidRPr="00BD6246" w:rsidRDefault="000E0D3D" w:rsidP="006252A9">
            <w:pPr>
              <w:spacing w:after="0" w:line="240" w:lineRule="auto"/>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 xml:space="preserve">Parque de vivienda familiar </w:t>
            </w:r>
          </w:p>
        </w:tc>
      </w:tr>
      <w:tr w:rsidR="000E0D3D" w:rsidRPr="00BD6246" w:rsidTr="0085444A">
        <w:tc>
          <w:tcPr>
            <w:tcW w:w="0" w:type="auto"/>
            <w:shd w:val="clear" w:color="auto" w:fill="auto"/>
            <w:noWrap/>
            <w:vAlign w:val="bottom"/>
            <w:hideMark/>
          </w:tcPr>
          <w:p w:rsidR="000E0D3D" w:rsidRPr="00BD6246" w:rsidRDefault="000E0D3D" w:rsidP="006252A9">
            <w:pPr>
              <w:spacing w:after="0" w:line="240" w:lineRule="auto"/>
              <w:jc w:val="center"/>
              <w:rPr>
                <w:rFonts w:ascii="Calibri" w:eastAsia="Times New Roman" w:hAnsi="Calibri" w:cs="Calibri"/>
                <w:b/>
                <w:bCs/>
                <w:color w:val="000000"/>
                <w:sz w:val="16"/>
                <w:szCs w:val="16"/>
                <w:lang w:eastAsia="es-ES"/>
              </w:rPr>
            </w:pP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Times New Roman" w:eastAsia="Times New Roman" w:hAnsi="Times New Roman" w:cs="Times New Roman"/>
                <w:b/>
                <w:sz w:val="16"/>
                <w:szCs w:val="16"/>
                <w:lang w:eastAsia="es-ES"/>
              </w:rPr>
            </w:pP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Times New Roman" w:eastAsia="Times New Roman" w:hAnsi="Times New Roman" w:cs="Times New Roman"/>
                <w:b/>
                <w:sz w:val="16"/>
                <w:szCs w:val="16"/>
                <w:lang w:eastAsia="es-ES"/>
              </w:rPr>
            </w:pP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Times New Roman" w:eastAsia="Times New Roman" w:hAnsi="Times New Roman" w:cs="Times New Roman"/>
                <w:b/>
                <w:sz w:val="16"/>
                <w:szCs w:val="16"/>
                <w:lang w:eastAsia="es-ES"/>
              </w:rPr>
            </w:pPr>
          </w:p>
        </w:tc>
        <w:tc>
          <w:tcPr>
            <w:tcW w:w="3269" w:type="dxa"/>
            <w:gridSpan w:val="4"/>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Variación vivienda familiar</w:t>
            </w:r>
          </w:p>
        </w:tc>
      </w:tr>
      <w:tr w:rsidR="000E0D3D" w:rsidRPr="00BD6246" w:rsidTr="0085444A">
        <w:tc>
          <w:tcPr>
            <w:tcW w:w="0" w:type="auto"/>
            <w:shd w:val="clear" w:color="auto" w:fill="auto"/>
            <w:noWrap/>
            <w:vAlign w:val="bottom"/>
            <w:hideMark/>
          </w:tcPr>
          <w:p w:rsidR="000E0D3D" w:rsidRPr="00BD6246" w:rsidRDefault="000E0D3D" w:rsidP="006252A9">
            <w:pPr>
              <w:spacing w:after="0" w:line="240" w:lineRule="auto"/>
              <w:jc w:val="center"/>
              <w:rPr>
                <w:rFonts w:ascii="Calibri" w:eastAsia="Times New Roman" w:hAnsi="Calibri" w:cs="Calibri"/>
                <w:color w:val="000000"/>
                <w:sz w:val="16"/>
                <w:szCs w:val="16"/>
                <w:lang w:eastAsia="es-ES"/>
              </w:rPr>
            </w:pP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Times New Roman" w:eastAsia="Times New Roman" w:hAnsi="Times New Roman" w:cs="Times New Roman"/>
                <w:b/>
                <w:sz w:val="16"/>
                <w:szCs w:val="16"/>
                <w:lang w:eastAsia="es-ES"/>
              </w:rPr>
            </w:pP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Times New Roman" w:eastAsia="Times New Roman" w:hAnsi="Times New Roman" w:cs="Times New Roman"/>
                <w:b/>
                <w:sz w:val="16"/>
                <w:szCs w:val="16"/>
                <w:lang w:eastAsia="es-ES"/>
              </w:rPr>
            </w:pP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Times New Roman" w:eastAsia="Times New Roman" w:hAnsi="Times New Roman" w:cs="Times New Roman"/>
                <w:b/>
                <w:sz w:val="16"/>
                <w:szCs w:val="16"/>
                <w:lang w:eastAsia="es-ES"/>
              </w:rPr>
            </w:pPr>
          </w:p>
        </w:tc>
        <w:tc>
          <w:tcPr>
            <w:tcW w:w="0" w:type="auto"/>
            <w:gridSpan w:val="2"/>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2011-2021</w:t>
            </w:r>
          </w:p>
        </w:tc>
        <w:tc>
          <w:tcPr>
            <w:tcW w:w="1715" w:type="dxa"/>
            <w:gridSpan w:val="2"/>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2001-2021</w:t>
            </w:r>
          </w:p>
        </w:tc>
      </w:tr>
      <w:tr w:rsidR="000E0D3D" w:rsidRPr="00BD6246" w:rsidTr="0085444A">
        <w:tc>
          <w:tcPr>
            <w:tcW w:w="0" w:type="auto"/>
            <w:shd w:val="clear" w:color="auto" w:fill="auto"/>
            <w:noWrap/>
            <w:vAlign w:val="bottom"/>
            <w:hideMark/>
          </w:tcPr>
          <w:p w:rsidR="000E0D3D" w:rsidRPr="00BD6246" w:rsidRDefault="000E0D3D" w:rsidP="006252A9">
            <w:pPr>
              <w:spacing w:after="0" w:line="240" w:lineRule="auto"/>
              <w:jc w:val="center"/>
              <w:rPr>
                <w:rFonts w:ascii="Calibri" w:eastAsia="Times New Roman" w:hAnsi="Calibri" w:cs="Calibri"/>
                <w:color w:val="000000"/>
                <w:sz w:val="16"/>
                <w:szCs w:val="16"/>
                <w:lang w:eastAsia="es-ES"/>
              </w:rPr>
            </w:pP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 xml:space="preserve"> Censo 2021</w:t>
            </w: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Censo 2011</w:t>
            </w: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Censo 2001</w:t>
            </w: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Nº</w:t>
            </w: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w:t>
            </w:r>
          </w:p>
        </w:tc>
        <w:tc>
          <w:tcPr>
            <w:tcW w:w="0" w:type="auto"/>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Nº</w:t>
            </w:r>
          </w:p>
        </w:tc>
        <w:tc>
          <w:tcPr>
            <w:tcW w:w="702" w:type="dxa"/>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Andalucía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4.674.873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4.353.146</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3.531.124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321.727</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7,4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822.022</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32,4</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Aragón</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841.363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778.316</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654.483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63.047</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8,1</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123.833</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28,6</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Asturias</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674.342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613.905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523.616</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60.437</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9,8</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90.289</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28,8</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Baleares</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652.123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586.709</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501.840</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65.414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11,1</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84.869</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29,9</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Canarias</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1.088.728</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1.040.945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851.463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47.783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4,6</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189.482</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27,9</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Cantabria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383.642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358.499</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284.235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25.143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7,0</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74.264</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35,0</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Castilla y León</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1.829.954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1.718.752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1.449.415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111.202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269.337</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26,3</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Castilla-La Mancha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1.347.301</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1.244.941</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986.051</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102.360</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8,2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258.890</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36,6</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Cataluña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3.915.129</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3.863.381</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3.314.155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51.748</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549.226</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18,1</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C.Valenciana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3.285.786</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3.147.062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2.547.775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138.724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4,4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599.287</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29,0</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Extremadura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698.505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648.350</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573.796</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50.155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7,7</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74.554</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21,7</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Galicia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1.757.789</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1.605.481</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1.308.363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152.308</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9,5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297.118</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34,4</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Madrid</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2.957.295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2.894.679</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2.478.145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62.616</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416.534</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19,3</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Murcia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844.265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776.700</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592.613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67.565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8,7</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184.087</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42,5</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Navarra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331.104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308.602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258.721</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22.502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7,3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49.881</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28,0</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País Vasco</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1.075.077</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1.017.602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889.560</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57.475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5,6</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128.042</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20,9</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La Rioja</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211.333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198.669</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155.931</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12.664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6,4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42.738</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35,5</w:t>
            </w:r>
          </w:p>
        </w:tc>
      </w:tr>
      <w:tr w:rsidR="000E0D3D" w:rsidRPr="00BD6246" w:rsidTr="007F0F03">
        <w:tc>
          <w:tcPr>
            <w:tcW w:w="0" w:type="auto"/>
            <w:shd w:val="clear" w:color="auto" w:fill="E2EFD9" w:themeFill="accent6" w:themeFillTint="33"/>
            <w:noWrap/>
            <w:vAlign w:val="bottom"/>
            <w:hideMark/>
          </w:tcPr>
          <w:p w:rsidR="000E0D3D" w:rsidRPr="00BD6246" w:rsidRDefault="000E0D3D" w:rsidP="006252A9">
            <w:pPr>
              <w:spacing w:after="0" w:line="240" w:lineRule="auto"/>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TOTAL NACIONAL</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26.626.315</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25.208.623</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20.946.554</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1.417.692</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5,6</w:t>
            </w:r>
          </w:p>
        </w:tc>
        <w:tc>
          <w:tcPr>
            <w:tcW w:w="0" w:type="auto"/>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4.262.069</w:t>
            </w:r>
          </w:p>
        </w:tc>
        <w:tc>
          <w:tcPr>
            <w:tcW w:w="702" w:type="dxa"/>
            <w:shd w:val="clear" w:color="auto" w:fill="auto"/>
            <w:noWrap/>
            <w:vAlign w:val="bottom"/>
            <w:hideMark/>
          </w:tcPr>
          <w:p w:rsidR="000E0D3D" w:rsidRPr="00BD6246" w:rsidRDefault="000E0D3D" w:rsidP="006252A9">
            <w:pPr>
              <w:spacing w:after="0" w:line="240" w:lineRule="auto"/>
              <w:jc w:val="right"/>
              <w:rPr>
                <w:rFonts w:ascii="Calibri" w:eastAsia="Times New Roman" w:hAnsi="Calibri" w:cs="Calibri"/>
                <w:b/>
                <w:bCs/>
                <w:color w:val="000000"/>
                <w:sz w:val="16"/>
                <w:szCs w:val="16"/>
                <w:lang w:eastAsia="es-ES"/>
              </w:rPr>
            </w:pPr>
            <w:r w:rsidRPr="00BD6246">
              <w:rPr>
                <w:rFonts w:ascii="Calibri" w:eastAsia="Times New Roman" w:hAnsi="Calibri" w:cs="Calibri"/>
                <w:b/>
                <w:bCs/>
                <w:color w:val="000000"/>
                <w:sz w:val="16"/>
                <w:szCs w:val="16"/>
                <w:lang w:eastAsia="es-ES"/>
              </w:rPr>
              <w:t>27,1</w:t>
            </w:r>
          </w:p>
        </w:tc>
      </w:tr>
      <w:tr w:rsidR="000E0D3D" w:rsidRPr="00BD6246" w:rsidTr="0085444A">
        <w:tc>
          <w:tcPr>
            <w:tcW w:w="8505" w:type="dxa"/>
            <w:gridSpan w:val="8"/>
            <w:tcBorders>
              <w:bottom w:val="nil"/>
            </w:tcBorders>
            <w:shd w:val="clear" w:color="auto" w:fill="auto"/>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 En el censo de 2011 el INE incluye la categoría "vivienda familiar no-convencional" dentro de la categoría "vivienda familiar".</w:t>
            </w:r>
          </w:p>
        </w:tc>
      </w:tr>
      <w:tr w:rsidR="000E0D3D" w:rsidRPr="00BD6246" w:rsidTr="0085444A">
        <w:tc>
          <w:tcPr>
            <w:tcW w:w="0" w:type="auto"/>
            <w:gridSpan w:val="7"/>
            <w:tcBorders>
              <w:top w:val="nil"/>
              <w:bottom w:val="single" w:sz="2" w:space="0" w:color="70AD47" w:themeColor="accent6"/>
            </w:tcBorders>
            <w:shd w:val="clear" w:color="auto" w:fill="auto"/>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r w:rsidRPr="00BD6246">
              <w:rPr>
                <w:rFonts w:ascii="Calibri" w:eastAsia="Times New Roman" w:hAnsi="Calibri" w:cs="Calibri"/>
                <w:color w:val="000000"/>
                <w:sz w:val="16"/>
                <w:szCs w:val="16"/>
                <w:lang w:eastAsia="es-ES"/>
              </w:rPr>
              <w:t xml:space="preserve">Fuente: Observatorio </w:t>
            </w:r>
            <w:r w:rsidR="003A5FE2">
              <w:rPr>
                <w:rFonts w:ascii="Calibri" w:eastAsia="Times New Roman" w:hAnsi="Calibri" w:cs="Calibri"/>
                <w:color w:val="000000"/>
                <w:sz w:val="16"/>
                <w:szCs w:val="16"/>
                <w:lang w:eastAsia="es-ES"/>
              </w:rPr>
              <w:t xml:space="preserve">de </w:t>
            </w:r>
            <w:r w:rsidRPr="00BD6246">
              <w:rPr>
                <w:rFonts w:ascii="Calibri" w:eastAsia="Times New Roman" w:hAnsi="Calibri" w:cs="Calibri"/>
                <w:color w:val="000000"/>
                <w:sz w:val="16"/>
                <w:szCs w:val="16"/>
                <w:lang w:eastAsia="es-ES"/>
              </w:rPr>
              <w:t>vivienda y suelo, Ministerio de Vivienda y Agenda Urbana.</w:t>
            </w:r>
          </w:p>
        </w:tc>
        <w:tc>
          <w:tcPr>
            <w:tcW w:w="702" w:type="dxa"/>
            <w:tcBorders>
              <w:top w:val="nil"/>
              <w:bottom w:val="single" w:sz="2" w:space="0" w:color="70AD47" w:themeColor="accent6"/>
            </w:tcBorders>
            <w:shd w:val="clear" w:color="auto" w:fill="auto"/>
            <w:noWrap/>
            <w:vAlign w:val="bottom"/>
            <w:hideMark/>
          </w:tcPr>
          <w:p w:rsidR="000E0D3D" w:rsidRPr="00BD6246" w:rsidRDefault="000E0D3D" w:rsidP="006252A9">
            <w:pPr>
              <w:spacing w:after="0" w:line="240" w:lineRule="auto"/>
              <w:rPr>
                <w:rFonts w:ascii="Calibri" w:eastAsia="Times New Roman" w:hAnsi="Calibri" w:cs="Calibri"/>
                <w:color w:val="000000"/>
                <w:sz w:val="16"/>
                <w:szCs w:val="16"/>
                <w:lang w:eastAsia="es-ES"/>
              </w:rPr>
            </w:pPr>
          </w:p>
        </w:tc>
      </w:tr>
    </w:tbl>
    <w:p w:rsidR="000E0D3D" w:rsidRDefault="000E0D3D" w:rsidP="000E0D3D">
      <w:pPr>
        <w:jc w:val="both"/>
      </w:pPr>
    </w:p>
    <w:tbl>
      <w:tblPr>
        <w:tblW w:w="8520" w:type="dxa"/>
        <w:tblCellMar>
          <w:left w:w="70" w:type="dxa"/>
          <w:right w:w="70" w:type="dxa"/>
        </w:tblCellMar>
        <w:tblLook w:val="04A0" w:firstRow="1" w:lastRow="0" w:firstColumn="1" w:lastColumn="0" w:noHBand="0" w:noVBand="1"/>
      </w:tblPr>
      <w:tblGrid>
        <w:gridCol w:w="3185"/>
        <w:gridCol w:w="890"/>
        <w:gridCol w:w="889"/>
        <w:gridCol w:w="889"/>
        <w:gridCol w:w="889"/>
        <w:gridCol w:w="889"/>
        <w:gridCol w:w="889"/>
      </w:tblGrid>
      <w:tr w:rsidR="000E0D3D" w:rsidRPr="007C76F4" w:rsidTr="006252A9">
        <w:tc>
          <w:tcPr>
            <w:tcW w:w="8520" w:type="dxa"/>
            <w:gridSpan w:val="7"/>
            <w:tcBorders>
              <w:top w:val="single" w:sz="2" w:space="0" w:color="70AD47" w:themeColor="accent6"/>
              <w:left w:val="nil"/>
              <w:bottom w:val="nil"/>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b/>
                <w:bCs/>
                <w:color w:val="000000"/>
                <w:sz w:val="16"/>
                <w:szCs w:val="16"/>
                <w:lang w:eastAsia="es-ES"/>
              </w:rPr>
            </w:pPr>
            <w:r w:rsidRPr="007C76F4">
              <w:rPr>
                <w:rFonts w:ascii="Calibri" w:eastAsia="Times New Roman" w:hAnsi="Calibri" w:cs="Calibri"/>
                <w:b/>
                <w:bCs/>
                <w:color w:val="000000"/>
                <w:sz w:val="16"/>
                <w:szCs w:val="16"/>
                <w:lang w:eastAsia="es-ES"/>
              </w:rPr>
              <w:t>Pesos sobre el total de viviendas familiares (%)</w:t>
            </w:r>
          </w:p>
        </w:tc>
      </w:tr>
      <w:tr w:rsidR="000E0D3D" w:rsidRPr="007C76F4" w:rsidTr="00192ED6">
        <w:tc>
          <w:tcPr>
            <w:tcW w:w="318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b/>
                <w:bCs/>
                <w:color w:val="000000"/>
                <w:sz w:val="16"/>
                <w:szCs w:val="16"/>
                <w:lang w:eastAsia="es-ES"/>
              </w:rPr>
            </w:pPr>
          </w:p>
        </w:tc>
        <w:tc>
          <w:tcPr>
            <w:tcW w:w="2668" w:type="dxa"/>
            <w:gridSpan w:val="3"/>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center"/>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Viviendas principales</w:t>
            </w:r>
          </w:p>
        </w:tc>
        <w:tc>
          <w:tcPr>
            <w:tcW w:w="2667" w:type="dxa"/>
            <w:gridSpan w:val="3"/>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center"/>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Viviendas no principales</w:t>
            </w:r>
          </w:p>
        </w:tc>
      </w:tr>
      <w:tr w:rsidR="000E0D3D" w:rsidRPr="007C76F4" w:rsidTr="00192ED6">
        <w:tc>
          <w:tcPr>
            <w:tcW w:w="318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center"/>
              <w:rPr>
                <w:rFonts w:ascii="Calibri" w:eastAsia="Times New Roman" w:hAnsi="Calibri" w:cs="Calibri"/>
                <w:color w:val="000000"/>
                <w:sz w:val="16"/>
                <w:szCs w:val="16"/>
                <w:lang w:eastAsia="es-ES"/>
              </w:rPr>
            </w:pPr>
          </w:p>
        </w:tc>
        <w:tc>
          <w:tcPr>
            <w:tcW w:w="890"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889"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2011</w:t>
            </w:r>
          </w:p>
        </w:tc>
        <w:tc>
          <w:tcPr>
            <w:tcW w:w="889"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2001</w:t>
            </w:r>
          </w:p>
        </w:tc>
        <w:tc>
          <w:tcPr>
            <w:tcW w:w="889"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889"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2011</w:t>
            </w:r>
          </w:p>
        </w:tc>
        <w:tc>
          <w:tcPr>
            <w:tcW w:w="889"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2001</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0E0D3D" w:rsidRDefault="000E0D3D" w:rsidP="006252A9">
            <w:pPr>
              <w:spacing w:after="0" w:line="240" w:lineRule="auto"/>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Andalucía</w:t>
            </w:r>
          </w:p>
        </w:tc>
        <w:tc>
          <w:tcPr>
            <w:tcW w:w="890"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69,4</w:t>
            </w:r>
          </w:p>
        </w:tc>
        <w:tc>
          <w:tcPr>
            <w:tcW w:w="889"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70,9</w:t>
            </w:r>
          </w:p>
        </w:tc>
        <w:tc>
          <w:tcPr>
            <w:tcW w:w="889"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68,5</w:t>
            </w:r>
          </w:p>
        </w:tc>
        <w:tc>
          <w:tcPr>
            <w:tcW w:w="889"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30,6</w:t>
            </w:r>
          </w:p>
        </w:tc>
        <w:tc>
          <w:tcPr>
            <w:tcW w:w="889"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29,1</w:t>
            </w:r>
          </w:p>
        </w:tc>
        <w:tc>
          <w:tcPr>
            <w:tcW w:w="889"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31,6</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Aragón</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64,2</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69,2</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67,7</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35,8</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30,8</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32,3</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Asturias</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66,2</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74,6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74,4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33,8</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25,4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25,6</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Baleares</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67,7</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73,3</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60,9</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32,3</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26,8</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39,1</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Canarias</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75,4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75,9</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64,9</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24,7</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24,1</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35,1</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Cantabria</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62,1</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66,0</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64,3</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37,9</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34,0</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35,7</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Castilla y León</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56,1</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60,4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61,4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44,0</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39,6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38,7</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Castilla-La Mancha</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59,4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63,3</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61,9</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40,6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36,7</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38,1</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Cataluña</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76,4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76,2</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69,9</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23,7</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23,8</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30,1</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C.Valenciana</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61,6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63,1</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58,6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38,5</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36,9</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41,4</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Extremadura</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62,2</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65,6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64,0</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37,8</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34,5</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36,1</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Galicia</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62,1</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66,0</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68,8</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37,9</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34,0</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31,2</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Madrid</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86,1</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85,3</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75,6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13,9</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14,7</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24,4</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Murcia</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64,0</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66,4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63,8</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36,0</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33,7</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36,2</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Navarra</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77,4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80,6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73,0</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22,6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19,4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27,0</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País Vasco</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85,5</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87,4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83,4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14,5</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16,7</w:t>
            </w:r>
          </w:p>
        </w:tc>
      </w:tr>
      <w:tr w:rsidR="000E0D3D" w:rsidRPr="007C76F4" w:rsidTr="007F0F03">
        <w:tc>
          <w:tcPr>
            <w:tcW w:w="3185"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La Rioja</w:t>
            </w:r>
          </w:p>
        </w:tc>
        <w:tc>
          <w:tcPr>
            <w:tcW w:w="890"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62,6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65,4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65,1</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37,4</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34,6</w:t>
            </w:r>
          </w:p>
        </w:tc>
        <w:tc>
          <w:tcPr>
            <w:tcW w:w="88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35,0</w:t>
            </w:r>
          </w:p>
        </w:tc>
      </w:tr>
      <w:tr w:rsidR="000E0D3D" w:rsidRPr="007C76F4" w:rsidTr="007F0F03">
        <w:tc>
          <w:tcPr>
            <w:tcW w:w="3185" w:type="dxa"/>
            <w:tcBorders>
              <w:top w:val="nil"/>
              <w:left w:val="nil"/>
              <w:right w:val="nil"/>
            </w:tcBorders>
            <w:shd w:val="clear" w:color="auto" w:fill="E2EFD9" w:themeFill="accent6" w:themeFillTint="33"/>
            <w:noWrap/>
            <w:vAlign w:val="bottom"/>
            <w:hideMark/>
          </w:tcPr>
          <w:p w:rsidR="000E0D3D" w:rsidRPr="000E0D3D" w:rsidRDefault="000E0D3D" w:rsidP="006252A9">
            <w:pPr>
              <w:spacing w:after="0" w:line="240" w:lineRule="auto"/>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TOTAL NACIONAL</w:t>
            </w:r>
          </w:p>
        </w:tc>
        <w:tc>
          <w:tcPr>
            <w:tcW w:w="890" w:type="dxa"/>
            <w:tcBorders>
              <w:top w:val="nil"/>
              <w:left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69,6</w:t>
            </w:r>
          </w:p>
        </w:tc>
        <w:tc>
          <w:tcPr>
            <w:tcW w:w="889" w:type="dxa"/>
            <w:tcBorders>
              <w:top w:val="nil"/>
              <w:left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71,7</w:t>
            </w:r>
          </w:p>
        </w:tc>
        <w:tc>
          <w:tcPr>
            <w:tcW w:w="889" w:type="dxa"/>
            <w:tcBorders>
              <w:top w:val="nil"/>
              <w:left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67,7</w:t>
            </w:r>
          </w:p>
        </w:tc>
        <w:tc>
          <w:tcPr>
            <w:tcW w:w="889" w:type="dxa"/>
            <w:tcBorders>
              <w:top w:val="nil"/>
              <w:left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30,4</w:t>
            </w:r>
          </w:p>
        </w:tc>
        <w:tc>
          <w:tcPr>
            <w:tcW w:w="889" w:type="dxa"/>
            <w:tcBorders>
              <w:top w:val="nil"/>
              <w:left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28,3</w:t>
            </w:r>
          </w:p>
        </w:tc>
        <w:tc>
          <w:tcPr>
            <w:tcW w:w="889" w:type="dxa"/>
            <w:tcBorders>
              <w:top w:val="nil"/>
              <w:left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32,3</w:t>
            </w:r>
          </w:p>
        </w:tc>
      </w:tr>
      <w:tr w:rsidR="000E0D3D" w:rsidRPr="007C76F4" w:rsidTr="0085444A">
        <w:tc>
          <w:tcPr>
            <w:tcW w:w="8520" w:type="dxa"/>
            <w:gridSpan w:val="7"/>
            <w:tcBorders>
              <w:top w:val="nil"/>
              <w:left w:val="nil"/>
              <w:bottom w:val="single" w:sz="2" w:space="0" w:color="70AD47" w:themeColor="accent6"/>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Fuente: Observatorio</w:t>
            </w:r>
            <w:r w:rsidR="003A5FE2">
              <w:rPr>
                <w:rFonts w:ascii="Calibri" w:eastAsia="Times New Roman" w:hAnsi="Calibri" w:cs="Calibri"/>
                <w:color w:val="000000"/>
                <w:sz w:val="16"/>
                <w:szCs w:val="16"/>
                <w:lang w:eastAsia="es-ES"/>
              </w:rPr>
              <w:t xml:space="preserve"> de</w:t>
            </w:r>
            <w:r w:rsidRPr="007C76F4">
              <w:rPr>
                <w:rFonts w:ascii="Calibri" w:eastAsia="Times New Roman" w:hAnsi="Calibri" w:cs="Calibri"/>
                <w:color w:val="000000"/>
                <w:sz w:val="16"/>
                <w:szCs w:val="16"/>
                <w:lang w:eastAsia="es-ES"/>
              </w:rPr>
              <w:t xml:space="preserve"> vivienda y suelo, Ministerio de Vivienda y Agenda Urbana.</w:t>
            </w:r>
          </w:p>
        </w:tc>
      </w:tr>
    </w:tbl>
    <w:p w:rsidR="000E0D3D" w:rsidRDefault="000E0D3D" w:rsidP="000E0D3D">
      <w:pPr>
        <w:jc w:val="both"/>
      </w:pPr>
    </w:p>
    <w:p w:rsidR="000E0D3D" w:rsidRDefault="000E0D3D" w:rsidP="000E0D3D">
      <w:pPr>
        <w:jc w:val="both"/>
      </w:pPr>
    </w:p>
    <w:p w:rsidR="00A35CAB" w:rsidRDefault="00C33264" w:rsidP="000E0D3D">
      <w:pPr>
        <w:jc w:val="both"/>
      </w:pPr>
      <w:r w:rsidRPr="00C33264">
        <w:rPr>
          <w:noProof/>
          <w:lang w:eastAsia="es-ES"/>
        </w:rPr>
        <w:lastRenderedPageBreak/>
        <w:drawing>
          <wp:inline distT="0" distB="0" distL="0" distR="0">
            <wp:extent cx="5400040" cy="30381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038120"/>
                    </a:xfrm>
                    <a:prstGeom prst="rect">
                      <a:avLst/>
                    </a:prstGeom>
                    <a:noFill/>
                    <a:ln>
                      <a:noFill/>
                    </a:ln>
                  </pic:spPr>
                </pic:pic>
              </a:graphicData>
            </a:graphic>
          </wp:inline>
        </w:drawing>
      </w:r>
    </w:p>
    <w:p w:rsidR="000E0D3D" w:rsidRDefault="000E0D3D" w:rsidP="000E0D3D">
      <w:pPr>
        <w:jc w:val="both"/>
      </w:pPr>
      <w:r>
        <w:t>En la comparativa por comunidades autónomas, después de Andalucía, Cataluña (14,7%), Comunidad Valenciana (12,3%) y Madrid (11,1%) concentran el mayor número de viviendas. Cantabria, Murcia y La Rioja registran los menores pesos, con porcentajes inferiores al 2% sobre el total nacional. Respecto a los datos del anterior censo, ha sido en Baleares, Asturias y Galicia, donde se han registrado los aumentos relativos más acusado del parque de viviendas, con tasas del 11,1%, 9,8% y 9,5%, respectivamente. También ha sido importante el crecimiento en Murcia, Castilla-La Mancha y Aragón, donde se supera el 8%, mientras que el crecimiento en Extremadura, Navarra y Cantabria se asimila al de Andalucía, con variaciones en torno al 7%.</w:t>
      </w:r>
    </w:p>
    <w:p w:rsidR="000E0D3D" w:rsidRDefault="000E0D3D" w:rsidP="000E0D3D">
      <w:pPr>
        <w:jc w:val="both"/>
      </w:pPr>
      <w:r>
        <w:t xml:space="preserve">Al analizar la información sobre </w:t>
      </w:r>
      <w:r w:rsidRPr="00613D2C">
        <w:rPr>
          <w:i/>
        </w:rPr>
        <w:t>vivienda secundaria y vacía</w:t>
      </w:r>
      <w:r>
        <w:t xml:space="preserve"> recogid</w:t>
      </w:r>
      <w:r w:rsidR="00B4483F">
        <w:t>a en los c</w:t>
      </w:r>
      <w:r>
        <w:t>ensos de cada año, deben considerarse las dificultades que en ocasiones puede suponer la obtención de datos sobre la situación real de los inmuebles con objeto de distinguir aquellos inmuebles que están desocupados de aquellos destinados a uso estacional.</w:t>
      </w:r>
    </w:p>
    <w:p w:rsidR="000E0D3D" w:rsidRDefault="000E0D3D" w:rsidP="000E0D3D">
      <w:pPr>
        <w:jc w:val="both"/>
      </w:pPr>
      <w:r>
        <w:t>En este sentido, cabe señalar el cambio metodológico implementado por el INE tanto a la hora de contabilizar las viviendas secundarias como las vacías. En cuanto a</w:t>
      </w:r>
      <w:r w:rsidR="00B4483F">
        <w:t xml:space="preserve"> las viviendas secundarias, el c</w:t>
      </w:r>
      <w:r>
        <w:t>enso de 2021 ya no las computa como tal, y, por lo tanto, el dato de vivienda secundaria del 2021 se basa en la siguiente extrapolación realizada por el Observatorio de Vivienda y Suelo:</w:t>
      </w:r>
    </w:p>
    <w:p w:rsidR="000E0D3D" w:rsidRPr="000E0D3D" w:rsidRDefault="000E0D3D" w:rsidP="000E0D3D">
      <w:pPr>
        <w:jc w:val="both"/>
        <w:rPr>
          <w:b/>
          <w:i/>
        </w:rPr>
      </w:pPr>
      <w:r w:rsidRPr="000E0D3D">
        <w:rPr>
          <w:b/>
          <w:i/>
        </w:rPr>
        <w:t>Vivienda secundaria = Vivienda familiar – Vivienda principal – Vivienda vacía (VS = VF – VP – VV)</w:t>
      </w:r>
    </w:p>
    <w:p w:rsidR="000E0D3D" w:rsidRDefault="000E0D3D" w:rsidP="000E0D3D">
      <w:pPr>
        <w:jc w:val="both"/>
      </w:pPr>
      <w:r>
        <w:t>Por otro lado, la contabilización de la vivienda vacía también ha experimentad</w:t>
      </w:r>
      <w:r w:rsidR="00B4483F">
        <w:t>o un cambio metodológico en el c</w:t>
      </w:r>
      <w:r>
        <w:t>enso de 2021, ya que este tipo de vivienda pasa a computarse en base al consumo eléctrico de l</w:t>
      </w:r>
      <w:r w:rsidR="00B4483F">
        <w:t>os hogares, mientras que en el c</w:t>
      </w:r>
      <w:r>
        <w:t>enso de 2011 se computaba en base a los datos del Padrón municipal y otros registros administrativos.</w:t>
      </w:r>
    </w:p>
    <w:p w:rsidR="000E0D3D" w:rsidRDefault="000E0D3D" w:rsidP="000E0D3D">
      <w:pPr>
        <w:jc w:val="both"/>
      </w:pPr>
      <w:r w:rsidRPr="00137F73">
        <w:t>En términos relativos, se aprecia un cambio de tendencia en la evolución de la vivienda principal</w:t>
      </w:r>
      <w:r>
        <w:t xml:space="preserve"> </w:t>
      </w:r>
      <w:r w:rsidRPr="00137F73">
        <w:t xml:space="preserve">entre los años 2001, 2011 y 2021, ya que en el primer decenio se experimenta una sustancial reducción de la vivienda </w:t>
      </w:r>
      <w:r>
        <w:t>no principal que pasa del 32,3% al 28,3</w:t>
      </w:r>
      <w:r w:rsidRPr="00137F73">
        <w:t>%, mientras que en el segundo decenio la vivienda no principal</w:t>
      </w:r>
      <w:r>
        <w:t xml:space="preserve"> aumenta del 28,3% al 30,4%, porcentajes similares a los recogidos en el caso de Andalucía. </w:t>
      </w:r>
    </w:p>
    <w:p w:rsidR="000E0D3D" w:rsidRDefault="000E0D3D" w:rsidP="000E0D3D">
      <w:pPr>
        <w:jc w:val="both"/>
      </w:pPr>
      <w:r w:rsidRPr="00137F73">
        <w:lastRenderedPageBreak/>
        <w:t xml:space="preserve">Este aumento se fundamenta tanto en el aumento de la </w:t>
      </w:r>
      <w:r w:rsidRPr="00613D2C">
        <w:rPr>
          <w:i/>
        </w:rPr>
        <w:t>vivienda secundaria</w:t>
      </w:r>
      <w:r>
        <w:t>, que pasa del 14,6% en 2011 al 16,0</w:t>
      </w:r>
      <w:r w:rsidRPr="00137F73">
        <w:t xml:space="preserve"> % en 2021, como de la </w:t>
      </w:r>
      <w:r w:rsidRPr="00613D2C">
        <w:rPr>
          <w:i/>
        </w:rPr>
        <w:t>vivienda vacía</w:t>
      </w:r>
      <w:r>
        <w:t>, que pasa del 13,7</w:t>
      </w:r>
      <w:r w:rsidRPr="00137F73">
        <w:t>% al 14,41% a nivel nacional</w:t>
      </w:r>
      <w:r>
        <w:t xml:space="preserve"> y del 14,4% al 16,9% en el caso de Andalucía.</w:t>
      </w:r>
    </w:p>
    <w:p w:rsidR="000E0D3D" w:rsidRDefault="000E0D3D" w:rsidP="000E0D3D">
      <w:pPr>
        <w:jc w:val="both"/>
      </w:pPr>
      <w:r w:rsidRPr="00AD0E71">
        <w:t xml:space="preserve">En todo caso, cabe </w:t>
      </w:r>
      <w:r>
        <w:t>señalar</w:t>
      </w:r>
      <w:r w:rsidRPr="00AD0E71">
        <w:t xml:space="preserve"> que este cambio de tendencia, </w:t>
      </w:r>
      <w:r>
        <w:t>a</w:t>
      </w:r>
      <w:r w:rsidRPr="00AD0E71">
        <w:t>demás de la matización arriba expuesta, puede deberse al aumento de vivienda turística experimentado en prácticamen</w:t>
      </w:r>
      <w:r>
        <w:t>te todo el territorio nacional.</w:t>
      </w:r>
    </w:p>
    <w:p w:rsidR="000E0D3D" w:rsidRPr="00AD0E71" w:rsidRDefault="000E0D3D" w:rsidP="000E0D3D">
      <w:pPr>
        <w:jc w:val="both"/>
      </w:pPr>
      <w:r w:rsidRPr="00AD0E71">
        <w:t>Si ana</w:t>
      </w:r>
      <w:r>
        <w:t>lizamos el comportamiento por comunidades autónomas</w:t>
      </w:r>
      <w:r w:rsidRPr="00AD0E71">
        <w:t xml:space="preserve"> se pueden apreciar grandes diferencias entre ellas en función de su carácter predominantemente urbano</w:t>
      </w:r>
      <w:r>
        <w:t>,</w:t>
      </w:r>
      <w:r w:rsidRPr="00AD0E71">
        <w:t xml:space="preserve"> turístico, o en función de que incluyan áreas que hayan padecido despoblamiento.</w:t>
      </w:r>
    </w:p>
    <w:p w:rsidR="000E0D3D" w:rsidRDefault="000E0D3D" w:rsidP="000E0D3D">
      <w:pPr>
        <w:jc w:val="both"/>
      </w:pPr>
      <w:r>
        <w:t>Aragón, Cantabria, Castilla-</w:t>
      </w:r>
      <w:r w:rsidRPr="00AD0E71">
        <w:t>La Mancha, Castilla y León, Comuni</w:t>
      </w:r>
      <w:r>
        <w:t>dad</w:t>
      </w:r>
      <w:r w:rsidRPr="00AD0E71">
        <w:t xml:space="preserve"> Valenciana, Extremadura, Galicia, Murcia</w:t>
      </w:r>
      <w:r>
        <w:t xml:space="preserve"> y La Rioja tienen más de un 35</w:t>
      </w:r>
      <w:r w:rsidRPr="00AD0E71">
        <w:t>% de vivienda no principal, todas ellas caracterizadas ya sea por una fuerte presencia del sector turístico o por ser áreas poco pobladas. Así pues, en ambas Castillas y en Galicia el elevado porcentaje de vivienda no principal se basa en el alto porcentaje de vivienda vacía, mientras que en la C</w:t>
      </w:r>
      <w:r>
        <w:t>omunidad</w:t>
      </w:r>
      <w:r w:rsidRPr="00AD0E71">
        <w:t xml:space="preserve"> Valenciana o </w:t>
      </w:r>
      <w:r>
        <w:t>en</w:t>
      </w:r>
      <w:r w:rsidRPr="00AD0E71">
        <w:t xml:space="preserve"> Murcia la vivienda secundaria es la responsable del</w:t>
      </w:r>
      <w:r>
        <w:t xml:space="preserve"> mayor peso de vivienda no principal.</w:t>
      </w:r>
    </w:p>
    <w:p w:rsidR="000E0D3D" w:rsidRPr="00AD0E71" w:rsidRDefault="000E0D3D" w:rsidP="000E0D3D">
      <w:pPr>
        <w:jc w:val="both"/>
      </w:pPr>
      <w:r w:rsidRPr="00AD0E71">
        <w:t>Por el contrario,</w:t>
      </w:r>
      <w:r>
        <w:t xml:space="preserve"> las comunidades</w:t>
      </w:r>
      <w:r w:rsidRPr="00AD0E71">
        <w:t xml:space="preserve"> más urbanas y, por lo tanto, más dens</w:t>
      </w:r>
      <w:r>
        <w:t xml:space="preserve">amente pobladas, como Cataluña, </w:t>
      </w:r>
      <w:r w:rsidRPr="00AD0E71">
        <w:t>Madrid, País Vasco, Navarra o Canarias presentan un menor porce</w:t>
      </w:r>
      <w:r>
        <w:t xml:space="preserve">ntaje de vivienda no principal, </w:t>
      </w:r>
      <w:r w:rsidRPr="00AD0E71">
        <w:t>estando estas cinco</w:t>
      </w:r>
      <w:r>
        <w:t xml:space="preserve"> comunidades por debajo del 25</w:t>
      </w:r>
      <w:r w:rsidRPr="00AD0E71">
        <w:t>% de tasa de vivienda no pr</w:t>
      </w:r>
      <w:r>
        <w:t xml:space="preserve">incipal, ya sea por su reducido </w:t>
      </w:r>
      <w:r w:rsidRPr="00AD0E71">
        <w:t>porcentaje de vivienda vacía o secundaria.</w:t>
      </w:r>
    </w:p>
    <w:p w:rsidR="000E0D3D" w:rsidRDefault="000E0D3D" w:rsidP="000E0D3D">
      <w:pPr>
        <w:jc w:val="both"/>
      </w:pPr>
    </w:p>
    <w:tbl>
      <w:tblPr>
        <w:tblW w:w="8344" w:type="dxa"/>
        <w:tblLayout w:type="fixed"/>
        <w:tblCellMar>
          <w:left w:w="70" w:type="dxa"/>
          <w:right w:w="70" w:type="dxa"/>
        </w:tblCellMar>
        <w:tblLook w:val="04A0" w:firstRow="1" w:lastRow="0" w:firstColumn="1" w:lastColumn="0" w:noHBand="0" w:noVBand="1"/>
      </w:tblPr>
      <w:tblGrid>
        <w:gridCol w:w="2168"/>
        <w:gridCol w:w="745"/>
        <w:gridCol w:w="742"/>
        <w:gridCol w:w="742"/>
        <w:gridCol w:w="742"/>
        <w:gridCol w:w="742"/>
        <w:gridCol w:w="742"/>
        <w:gridCol w:w="521"/>
        <w:gridCol w:w="521"/>
        <w:gridCol w:w="679"/>
      </w:tblGrid>
      <w:tr w:rsidR="000E0D3D" w:rsidRPr="007C76F4" w:rsidTr="00D735FB">
        <w:tc>
          <w:tcPr>
            <w:tcW w:w="6623" w:type="dxa"/>
            <w:gridSpan w:val="7"/>
            <w:tcBorders>
              <w:top w:val="single" w:sz="2" w:space="0" w:color="70AD47" w:themeColor="accent6"/>
              <w:left w:val="nil"/>
              <w:bottom w:val="nil"/>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b/>
                <w:color w:val="000000"/>
                <w:sz w:val="16"/>
                <w:szCs w:val="16"/>
                <w:lang w:eastAsia="es-ES"/>
              </w:rPr>
            </w:pPr>
            <w:r w:rsidRPr="007C76F4">
              <w:rPr>
                <w:rFonts w:ascii="Calibri" w:eastAsia="Times New Roman" w:hAnsi="Calibri" w:cs="Calibri"/>
                <w:b/>
                <w:color w:val="000000"/>
                <w:sz w:val="16"/>
                <w:szCs w:val="16"/>
                <w:lang w:eastAsia="es-ES"/>
              </w:rPr>
              <w:t>Tasa de viviendas no principales respecto de las viviendas familiares: secundarias y vacías</w:t>
            </w:r>
          </w:p>
        </w:tc>
        <w:tc>
          <w:tcPr>
            <w:tcW w:w="521" w:type="dxa"/>
            <w:tcBorders>
              <w:top w:val="single" w:sz="2" w:space="0" w:color="70AD47" w:themeColor="accent6"/>
              <w:left w:val="nil"/>
              <w:bottom w:val="nil"/>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p>
        </w:tc>
        <w:tc>
          <w:tcPr>
            <w:tcW w:w="521" w:type="dxa"/>
            <w:tcBorders>
              <w:top w:val="single" w:sz="2" w:space="0" w:color="70AD47" w:themeColor="accent6"/>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679" w:type="dxa"/>
            <w:tcBorders>
              <w:top w:val="single" w:sz="2" w:space="0" w:color="70AD47" w:themeColor="accent6"/>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r>
      <w:tr w:rsidR="000E0D3D" w:rsidRPr="007C76F4" w:rsidTr="000E0D3D">
        <w:tc>
          <w:tcPr>
            <w:tcW w:w="2168"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Porcentajes</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r>
      <w:tr w:rsidR="000E0D3D" w:rsidRPr="007C76F4" w:rsidTr="00192ED6">
        <w:tc>
          <w:tcPr>
            <w:tcW w:w="2168"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2229" w:type="dxa"/>
            <w:gridSpan w:val="3"/>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center"/>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 no principal</w:t>
            </w:r>
          </w:p>
        </w:tc>
        <w:tc>
          <w:tcPr>
            <w:tcW w:w="2226" w:type="dxa"/>
            <w:gridSpan w:val="3"/>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center"/>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 secundaria</w:t>
            </w:r>
          </w:p>
        </w:tc>
        <w:tc>
          <w:tcPr>
            <w:tcW w:w="1721" w:type="dxa"/>
            <w:gridSpan w:val="3"/>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center"/>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 vacía</w:t>
            </w:r>
          </w:p>
        </w:tc>
      </w:tr>
      <w:tr w:rsidR="000E0D3D" w:rsidRPr="007C76F4" w:rsidTr="00192ED6">
        <w:tc>
          <w:tcPr>
            <w:tcW w:w="2168"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745"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742"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2011</w:t>
            </w:r>
          </w:p>
        </w:tc>
        <w:tc>
          <w:tcPr>
            <w:tcW w:w="742"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2001</w:t>
            </w:r>
          </w:p>
        </w:tc>
        <w:tc>
          <w:tcPr>
            <w:tcW w:w="742"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742"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2011</w:t>
            </w:r>
          </w:p>
        </w:tc>
        <w:tc>
          <w:tcPr>
            <w:tcW w:w="742"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2001</w:t>
            </w:r>
          </w:p>
        </w:tc>
        <w:tc>
          <w:tcPr>
            <w:tcW w:w="521"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521"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2011</w:t>
            </w:r>
          </w:p>
        </w:tc>
        <w:tc>
          <w:tcPr>
            <w:tcW w:w="679" w:type="dxa"/>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2001</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0E0D3D" w:rsidRDefault="000E0D3D" w:rsidP="006252A9">
            <w:pPr>
              <w:spacing w:after="0" w:line="240" w:lineRule="auto"/>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Andalucía</w:t>
            </w:r>
          </w:p>
        </w:tc>
        <w:tc>
          <w:tcPr>
            <w:tcW w:w="745"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30,6</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29,1</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32,3</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16,9</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14,4</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19,2</w:t>
            </w:r>
          </w:p>
        </w:tc>
        <w:tc>
          <w:tcPr>
            <w:tcW w:w="521"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13,7</w:t>
            </w:r>
          </w:p>
        </w:tc>
        <w:tc>
          <w:tcPr>
            <w:tcW w:w="521"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14,6</w:t>
            </w:r>
          </w:p>
        </w:tc>
        <w:tc>
          <w:tcPr>
            <w:tcW w:w="679"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13,1</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Aragón</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35,8</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30,8</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38,1</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20,4</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17,9</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24,1</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15,4</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12,9</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14,0</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Asturias</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33,8</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25,4</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36,2</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18,9</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11,9</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20,0</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14,9</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13,5</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16,1</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Baleares</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32,3</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26,8</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36,1</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16,1</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18,0</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16,2</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12,1</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18,0</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Canarias</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24,1</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27,0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5,2</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10,8</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13,5</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19,4</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13,3</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13,6</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Cantabria</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37,9</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34,0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41,4</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25,0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20,8</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24,0</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12,9</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13,1</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17,5</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Castilla y León</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40,6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35,1</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18,1</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20,5</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18,8</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22,6</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16,3</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16,3</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Castilla-La Mancha</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44,0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39,6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38,7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24,2</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24,2</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19,7</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15,0</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14,4</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Cataluña</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23,7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23,8</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39,1</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12,2</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22,1</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10,7</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11,6</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17,0</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C.Valenciana</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38,5</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36,9</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30,1</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24,5</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20,8</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16,5</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14,0</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16,1</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13,7</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Extremadura</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37,8</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34,5</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24,4</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20,2</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18,2</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12,0</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17,7</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16,2</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12,4</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Galicia</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37,9</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34,0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9,1</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15,4</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6,1</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28,8</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18,7</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10,6</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Madrid</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13,9</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35,0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7,5</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5,6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20,3</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6,4</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9,1</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14,7</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Murcia</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36,0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33,7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31,2</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23,7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17,0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13,6</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12,2</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16,6</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17,5</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Navarra</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22,6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19,4</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25,6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8,0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11,8</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10,0</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11,5</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13,9</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País Vasco</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14,5</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35,7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8,0</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4,7</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22,9</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6,5</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8,0</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12,9</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La Rioja</w:t>
            </w:r>
          </w:p>
        </w:tc>
        <w:tc>
          <w:tcPr>
            <w:tcW w:w="745"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37,4</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34,6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31,6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25,2</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16,6</w:t>
            </w:r>
          </w:p>
        </w:tc>
        <w:tc>
          <w:tcPr>
            <w:tcW w:w="742"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16,0</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12,3</w:t>
            </w:r>
          </w:p>
        </w:tc>
        <w:tc>
          <w:tcPr>
            <w:tcW w:w="521"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18,0</w:t>
            </w:r>
          </w:p>
        </w:tc>
        <w:tc>
          <w:tcPr>
            <w:tcW w:w="679" w:type="dxa"/>
            <w:tcBorders>
              <w:top w:val="nil"/>
              <w:left w:val="nil"/>
              <w:bottom w:val="nil"/>
              <w:right w:val="nil"/>
            </w:tcBorders>
            <w:shd w:val="clear" w:color="auto" w:fill="auto"/>
            <w:noWrap/>
            <w:vAlign w:val="bottom"/>
            <w:hideMark/>
          </w:tcPr>
          <w:p w:rsidR="000E0D3D" w:rsidRPr="007C76F4" w:rsidRDefault="000E0D3D" w:rsidP="006252A9">
            <w:pPr>
              <w:spacing w:after="0" w:line="240" w:lineRule="auto"/>
              <w:jc w:val="right"/>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15,5</w:t>
            </w:r>
          </w:p>
        </w:tc>
      </w:tr>
      <w:tr w:rsidR="000E0D3D" w:rsidRPr="007C76F4" w:rsidTr="007F0F03">
        <w:tc>
          <w:tcPr>
            <w:tcW w:w="2168" w:type="dxa"/>
            <w:tcBorders>
              <w:top w:val="nil"/>
              <w:left w:val="nil"/>
              <w:bottom w:val="nil"/>
              <w:right w:val="nil"/>
            </w:tcBorders>
            <w:shd w:val="clear" w:color="auto" w:fill="E2EFD9" w:themeFill="accent6" w:themeFillTint="33"/>
            <w:noWrap/>
            <w:vAlign w:val="bottom"/>
            <w:hideMark/>
          </w:tcPr>
          <w:p w:rsidR="000E0D3D" w:rsidRPr="000E0D3D" w:rsidRDefault="000E0D3D" w:rsidP="006252A9">
            <w:pPr>
              <w:spacing w:after="0" w:line="240" w:lineRule="auto"/>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TOTAL NACIONAL</w:t>
            </w:r>
          </w:p>
        </w:tc>
        <w:tc>
          <w:tcPr>
            <w:tcW w:w="745"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30,4</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28,3</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32,3</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16,0</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14,6</w:t>
            </w:r>
          </w:p>
        </w:tc>
        <w:tc>
          <w:tcPr>
            <w:tcW w:w="742"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17,4</w:t>
            </w:r>
          </w:p>
        </w:tc>
        <w:tc>
          <w:tcPr>
            <w:tcW w:w="521"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14,4</w:t>
            </w:r>
          </w:p>
        </w:tc>
        <w:tc>
          <w:tcPr>
            <w:tcW w:w="521"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13,7</w:t>
            </w:r>
          </w:p>
        </w:tc>
        <w:tc>
          <w:tcPr>
            <w:tcW w:w="679" w:type="dxa"/>
            <w:tcBorders>
              <w:top w:val="nil"/>
              <w:left w:val="nil"/>
              <w:bottom w:val="nil"/>
              <w:right w:val="nil"/>
            </w:tcBorders>
            <w:shd w:val="clear" w:color="auto" w:fill="auto"/>
            <w:noWrap/>
            <w:vAlign w:val="bottom"/>
            <w:hideMark/>
          </w:tcPr>
          <w:p w:rsidR="000E0D3D" w:rsidRPr="000E0D3D" w:rsidRDefault="000E0D3D" w:rsidP="006252A9">
            <w:pPr>
              <w:spacing w:after="0" w:line="240" w:lineRule="auto"/>
              <w:jc w:val="right"/>
              <w:rPr>
                <w:rFonts w:ascii="Calibri" w:eastAsia="Times New Roman" w:hAnsi="Calibri" w:cs="Calibri"/>
                <w:b/>
                <w:color w:val="000000"/>
                <w:sz w:val="16"/>
                <w:szCs w:val="16"/>
                <w:lang w:eastAsia="es-ES"/>
              </w:rPr>
            </w:pPr>
            <w:r w:rsidRPr="000E0D3D">
              <w:rPr>
                <w:rFonts w:ascii="Calibri" w:eastAsia="Times New Roman" w:hAnsi="Calibri" w:cs="Calibri"/>
                <w:b/>
                <w:color w:val="000000"/>
                <w:sz w:val="16"/>
                <w:szCs w:val="16"/>
                <w:lang w:eastAsia="es-ES"/>
              </w:rPr>
              <w:t>14,8</w:t>
            </w:r>
          </w:p>
        </w:tc>
      </w:tr>
      <w:tr w:rsidR="000E0D3D" w:rsidRPr="007C76F4" w:rsidTr="00D735FB">
        <w:tc>
          <w:tcPr>
            <w:tcW w:w="7665" w:type="dxa"/>
            <w:gridSpan w:val="9"/>
            <w:tcBorders>
              <w:top w:val="nil"/>
              <w:left w:val="nil"/>
              <w:bottom w:val="nil"/>
              <w:right w:val="nil"/>
            </w:tcBorders>
            <w:shd w:val="clear" w:color="auto" w:fill="auto"/>
            <w:noWrap/>
            <w:vAlign w:val="bottom"/>
            <w:hideMark/>
          </w:tcPr>
          <w:p w:rsidR="000E0D3D" w:rsidRPr="007C76F4" w:rsidRDefault="000E0D3D" w:rsidP="00D735FB">
            <w:pPr>
              <w:spacing w:after="0" w:line="240" w:lineRule="auto"/>
              <w:jc w:val="both"/>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 En el censo de 2021 el INE no contempla esta categoría, por lo que consideramos la siguiente expresión VS=VF-VP-VV</w:t>
            </w:r>
          </w:p>
        </w:tc>
        <w:tc>
          <w:tcPr>
            <w:tcW w:w="679" w:type="dxa"/>
            <w:tcBorders>
              <w:top w:val="nil"/>
              <w:left w:val="nil"/>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p>
        </w:tc>
      </w:tr>
      <w:tr w:rsidR="000E0D3D" w:rsidRPr="007C76F4" w:rsidTr="00D735FB">
        <w:tc>
          <w:tcPr>
            <w:tcW w:w="5881" w:type="dxa"/>
            <w:gridSpan w:val="6"/>
            <w:tcBorders>
              <w:top w:val="nil"/>
              <w:left w:val="nil"/>
              <w:bottom w:val="single" w:sz="2" w:space="0" w:color="70AD47" w:themeColor="accent6"/>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r w:rsidRPr="007C76F4">
              <w:rPr>
                <w:rFonts w:ascii="Calibri" w:eastAsia="Times New Roman" w:hAnsi="Calibri" w:cs="Calibri"/>
                <w:color w:val="000000"/>
                <w:sz w:val="16"/>
                <w:szCs w:val="16"/>
                <w:lang w:eastAsia="es-ES"/>
              </w:rPr>
              <w:t xml:space="preserve">Fuente: Observatorio </w:t>
            </w:r>
            <w:r w:rsidR="003A5FE2">
              <w:rPr>
                <w:rFonts w:ascii="Calibri" w:eastAsia="Times New Roman" w:hAnsi="Calibri" w:cs="Calibri"/>
                <w:color w:val="000000"/>
                <w:sz w:val="16"/>
                <w:szCs w:val="16"/>
                <w:lang w:eastAsia="es-ES"/>
              </w:rPr>
              <w:t xml:space="preserve">de </w:t>
            </w:r>
            <w:r w:rsidRPr="007C76F4">
              <w:rPr>
                <w:rFonts w:ascii="Calibri" w:eastAsia="Times New Roman" w:hAnsi="Calibri" w:cs="Calibri"/>
                <w:color w:val="000000"/>
                <w:sz w:val="16"/>
                <w:szCs w:val="16"/>
                <w:lang w:eastAsia="es-ES"/>
              </w:rPr>
              <w:t>vivienda y suelo, Ministerio de Vivienda y Agenda Urbana.</w:t>
            </w:r>
          </w:p>
        </w:tc>
        <w:tc>
          <w:tcPr>
            <w:tcW w:w="742" w:type="dxa"/>
            <w:tcBorders>
              <w:top w:val="nil"/>
              <w:left w:val="nil"/>
              <w:bottom w:val="single" w:sz="2" w:space="0" w:color="70AD47" w:themeColor="accent6"/>
              <w:right w:val="nil"/>
            </w:tcBorders>
            <w:shd w:val="clear" w:color="auto" w:fill="auto"/>
            <w:noWrap/>
            <w:vAlign w:val="bottom"/>
            <w:hideMark/>
          </w:tcPr>
          <w:p w:rsidR="000E0D3D" w:rsidRPr="007C76F4" w:rsidRDefault="000E0D3D" w:rsidP="006252A9">
            <w:pPr>
              <w:spacing w:after="0" w:line="240" w:lineRule="auto"/>
              <w:rPr>
                <w:rFonts w:ascii="Calibri" w:eastAsia="Times New Roman" w:hAnsi="Calibri" w:cs="Calibri"/>
                <w:color w:val="000000"/>
                <w:sz w:val="16"/>
                <w:szCs w:val="16"/>
                <w:lang w:eastAsia="es-ES"/>
              </w:rPr>
            </w:pPr>
          </w:p>
        </w:tc>
        <w:tc>
          <w:tcPr>
            <w:tcW w:w="521" w:type="dxa"/>
            <w:tcBorders>
              <w:top w:val="nil"/>
              <w:left w:val="nil"/>
              <w:bottom w:val="single" w:sz="2" w:space="0" w:color="70AD47" w:themeColor="accent6"/>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521" w:type="dxa"/>
            <w:tcBorders>
              <w:top w:val="nil"/>
              <w:left w:val="nil"/>
              <w:bottom w:val="single" w:sz="2" w:space="0" w:color="70AD47" w:themeColor="accent6"/>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c>
          <w:tcPr>
            <w:tcW w:w="679" w:type="dxa"/>
            <w:tcBorders>
              <w:top w:val="nil"/>
              <w:left w:val="nil"/>
              <w:bottom w:val="single" w:sz="2" w:space="0" w:color="70AD47" w:themeColor="accent6"/>
              <w:right w:val="nil"/>
            </w:tcBorders>
            <w:shd w:val="clear" w:color="auto" w:fill="auto"/>
            <w:noWrap/>
            <w:vAlign w:val="bottom"/>
            <w:hideMark/>
          </w:tcPr>
          <w:p w:rsidR="000E0D3D" w:rsidRPr="007C76F4" w:rsidRDefault="000E0D3D" w:rsidP="006252A9">
            <w:pPr>
              <w:spacing w:after="0" w:line="240" w:lineRule="auto"/>
              <w:rPr>
                <w:rFonts w:ascii="Times New Roman" w:eastAsia="Times New Roman" w:hAnsi="Times New Roman" w:cs="Times New Roman"/>
                <w:sz w:val="16"/>
                <w:szCs w:val="16"/>
                <w:lang w:eastAsia="es-ES"/>
              </w:rPr>
            </w:pPr>
          </w:p>
        </w:tc>
      </w:tr>
    </w:tbl>
    <w:p w:rsidR="000E0D3D" w:rsidRDefault="000E0D3D" w:rsidP="000E0D3D">
      <w:pPr>
        <w:jc w:val="both"/>
      </w:pPr>
    </w:p>
    <w:p w:rsidR="000E0D3D" w:rsidRDefault="000E0D3D" w:rsidP="000E0D3D">
      <w:pPr>
        <w:jc w:val="both"/>
      </w:pPr>
      <w:r>
        <w:t xml:space="preserve">Atendiendo al desglose de las </w:t>
      </w:r>
      <w:r w:rsidRPr="000369E5">
        <w:rPr>
          <w:b/>
        </w:rPr>
        <w:t>viviendas no principales</w:t>
      </w:r>
      <w:r>
        <w:t xml:space="preserve"> entre </w:t>
      </w:r>
      <w:r w:rsidRPr="000369E5">
        <w:rPr>
          <w:i/>
        </w:rPr>
        <w:t>secundarias y vacías</w:t>
      </w:r>
      <w:r>
        <w:t>. En términos relativos, se aprecia un cambio de tendencia en la evolución de la vivienda principal entre los años 2001, 2011 y 2021, ya que en el primer decenio se experimenta una sustancial reducción de la vivienda no principal que pasa del 32,3% al 28,3%, mientras que en el segundo decenio la vivienda no principal aumenta del 28,3% al 30,4%.</w:t>
      </w:r>
    </w:p>
    <w:p w:rsidR="000E0D3D" w:rsidRDefault="000E0D3D" w:rsidP="000E0D3D">
      <w:pPr>
        <w:jc w:val="both"/>
      </w:pPr>
    </w:p>
    <w:tbl>
      <w:tblPr>
        <w:tblW w:w="11052" w:type="dxa"/>
        <w:jc w:val="center"/>
        <w:tblLayout w:type="fixed"/>
        <w:tblCellMar>
          <w:left w:w="70" w:type="dxa"/>
          <w:right w:w="70" w:type="dxa"/>
        </w:tblCellMar>
        <w:tblLook w:val="04A0" w:firstRow="1" w:lastRow="0" w:firstColumn="1" w:lastColumn="0" w:noHBand="0" w:noVBand="1"/>
      </w:tblPr>
      <w:tblGrid>
        <w:gridCol w:w="1420"/>
        <w:gridCol w:w="987"/>
        <w:gridCol w:w="991"/>
        <w:gridCol w:w="851"/>
        <w:gridCol w:w="1134"/>
        <w:gridCol w:w="992"/>
        <w:gridCol w:w="850"/>
        <w:gridCol w:w="713"/>
        <w:gridCol w:w="846"/>
        <w:gridCol w:w="567"/>
        <w:gridCol w:w="850"/>
        <w:gridCol w:w="851"/>
      </w:tblGrid>
      <w:tr w:rsidR="000E0D3D" w:rsidRPr="00867442" w:rsidTr="00AE0656">
        <w:trPr>
          <w:trHeight w:val="20"/>
          <w:jc w:val="center"/>
        </w:trPr>
        <w:tc>
          <w:tcPr>
            <w:tcW w:w="9351" w:type="dxa"/>
            <w:gridSpan w:val="10"/>
            <w:tcBorders>
              <w:top w:val="single" w:sz="2" w:space="0" w:color="70AD47" w:themeColor="accent6"/>
            </w:tcBorders>
            <w:shd w:val="clear" w:color="auto" w:fill="auto"/>
            <w:noWrap/>
            <w:vAlign w:val="bottom"/>
            <w:hideMark/>
          </w:tcPr>
          <w:p w:rsidR="000E0D3D" w:rsidRPr="00867442" w:rsidRDefault="000E0D3D" w:rsidP="006252A9">
            <w:pPr>
              <w:spacing w:after="0" w:line="240" w:lineRule="auto"/>
              <w:rPr>
                <w:rFonts w:ascii="Calibri" w:eastAsia="Times New Roman" w:hAnsi="Calibri" w:cs="Calibri"/>
                <w:b/>
                <w:bCs/>
                <w:color w:val="000000"/>
                <w:sz w:val="16"/>
                <w:szCs w:val="16"/>
                <w:lang w:eastAsia="es-ES"/>
              </w:rPr>
            </w:pPr>
            <w:r w:rsidRPr="00867442">
              <w:rPr>
                <w:rFonts w:ascii="Calibri" w:eastAsia="Times New Roman" w:hAnsi="Calibri" w:cs="Calibri"/>
                <w:b/>
                <w:bCs/>
                <w:color w:val="000000"/>
                <w:sz w:val="16"/>
                <w:szCs w:val="16"/>
                <w:lang w:eastAsia="es-ES"/>
              </w:rPr>
              <w:lastRenderedPageBreak/>
              <w:t>Parque de vivienda turística respecto del parque de vivienda familiar, no principal, secundaria y en régimen de alquiler en 2021</w:t>
            </w:r>
          </w:p>
        </w:tc>
        <w:tc>
          <w:tcPr>
            <w:tcW w:w="850" w:type="dxa"/>
            <w:tcBorders>
              <w:top w:val="single" w:sz="2" w:space="0" w:color="70AD47" w:themeColor="accent6"/>
            </w:tcBorders>
            <w:shd w:val="clear" w:color="auto" w:fill="auto"/>
            <w:noWrap/>
            <w:vAlign w:val="bottom"/>
            <w:hideMark/>
          </w:tcPr>
          <w:p w:rsidR="000E0D3D" w:rsidRPr="00867442" w:rsidRDefault="000E0D3D" w:rsidP="006252A9">
            <w:pPr>
              <w:spacing w:after="0" w:line="240" w:lineRule="auto"/>
              <w:rPr>
                <w:rFonts w:ascii="Calibri" w:eastAsia="Times New Roman" w:hAnsi="Calibri" w:cs="Calibri"/>
                <w:b/>
                <w:bCs/>
                <w:color w:val="000000"/>
                <w:sz w:val="16"/>
                <w:szCs w:val="16"/>
                <w:lang w:eastAsia="es-ES"/>
              </w:rPr>
            </w:pPr>
          </w:p>
        </w:tc>
        <w:tc>
          <w:tcPr>
            <w:tcW w:w="851" w:type="dxa"/>
            <w:tcBorders>
              <w:top w:val="single" w:sz="2" w:space="0" w:color="70AD47" w:themeColor="accent6"/>
            </w:tcBorders>
            <w:shd w:val="clear" w:color="auto" w:fill="auto"/>
            <w:noWrap/>
            <w:vAlign w:val="bottom"/>
            <w:hideMark/>
          </w:tcPr>
          <w:p w:rsidR="000E0D3D" w:rsidRPr="00867442" w:rsidRDefault="000E0D3D" w:rsidP="006252A9">
            <w:pPr>
              <w:spacing w:after="0" w:line="240" w:lineRule="auto"/>
              <w:rPr>
                <w:rFonts w:ascii="Times New Roman" w:eastAsia="Times New Roman" w:hAnsi="Times New Roman" w:cs="Times New Roman"/>
                <w:sz w:val="16"/>
                <w:szCs w:val="16"/>
                <w:lang w:eastAsia="es-ES"/>
              </w:rPr>
            </w:pPr>
          </w:p>
        </w:tc>
      </w:tr>
      <w:tr w:rsidR="000F7B19" w:rsidRPr="00867442" w:rsidTr="00192ED6">
        <w:trPr>
          <w:trHeight w:val="20"/>
          <w:jc w:val="center"/>
        </w:trPr>
        <w:tc>
          <w:tcPr>
            <w:tcW w:w="1420" w:type="dxa"/>
            <w:shd w:val="clear" w:color="auto" w:fill="auto"/>
            <w:noWrap/>
            <w:vAlign w:val="bottom"/>
            <w:hideMark/>
          </w:tcPr>
          <w:p w:rsidR="000F7B19" w:rsidRPr="00867442" w:rsidRDefault="000F7B19" w:rsidP="006252A9">
            <w:pPr>
              <w:spacing w:after="0" w:line="240" w:lineRule="auto"/>
              <w:rPr>
                <w:rFonts w:ascii="Times New Roman" w:eastAsia="Times New Roman" w:hAnsi="Times New Roman" w:cs="Times New Roman"/>
                <w:sz w:val="16"/>
                <w:szCs w:val="16"/>
                <w:lang w:eastAsia="es-ES"/>
              </w:rPr>
            </w:pPr>
          </w:p>
        </w:tc>
        <w:tc>
          <w:tcPr>
            <w:tcW w:w="987" w:type="dxa"/>
            <w:shd w:val="clear" w:color="auto" w:fill="E2EFD9" w:themeFill="accent6" w:themeFillTint="33"/>
            <w:noWrap/>
            <w:vAlign w:val="bottom"/>
            <w:hideMark/>
          </w:tcPr>
          <w:p w:rsidR="000F7B19" w:rsidRPr="00192ED6" w:rsidRDefault="000F7B19" w:rsidP="000F7B1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Viviendas familiares (VF)</w:t>
            </w:r>
          </w:p>
        </w:tc>
        <w:tc>
          <w:tcPr>
            <w:tcW w:w="991" w:type="dxa"/>
            <w:shd w:val="clear" w:color="auto" w:fill="E2EFD9" w:themeFill="accent6" w:themeFillTint="33"/>
            <w:noWrap/>
            <w:vAlign w:val="bottom"/>
            <w:hideMark/>
          </w:tcPr>
          <w:p w:rsidR="000F7B19" w:rsidRPr="00192ED6" w:rsidRDefault="000F7B19" w:rsidP="000F7B1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 no principal</w:t>
            </w:r>
          </w:p>
        </w:tc>
        <w:tc>
          <w:tcPr>
            <w:tcW w:w="851" w:type="dxa"/>
            <w:shd w:val="clear" w:color="auto" w:fill="E2EFD9" w:themeFill="accent6" w:themeFillTint="33"/>
            <w:noWrap/>
            <w:vAlign w:val="bottom"/>
            <w:hideMark/>
          </w:tcPr>
          <w:p w:rsidR="000F7B19" w:rsidRPr="00192ED6" w:rsidRDefault="000F7B19" w:rsidP="000F7B1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 secundaria (VS)</w:t>
            </w:r>
          </w:p>
        </w:tc>
        <w:tc>
          <w:tcPr>
            <w:tcW w:w="1134" w:type="dxa"/>
            <w:shd w:val="clear" w:color="auto" w:fill="E2EFD9" w:themeFill="accent6" w:themeFillTint="33"/>
            <w:noWrap/>
            <w:vAlign w:val="bottom"/>
            <w:hideMark/>
          </w:tcPr>
          <w:p w:rsidR="000F7B19" w:rsidRPr="00192ED6" w:rsidRDefault="000F7B19" w:rsidP="000F7B1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VF en régimen de alquiler</w:t>
            </w:r>
          </w:p>
        </w:tc>
        <w:tc>
          <w:tcPr>
            <w:tcW w:w="992" w:type="dxa"/>
            <w:shd w:val="clear" w:color="auto" w:fill="E2EFD9" w:themeFill="accent6" w:themeFillTint="33"/>
            <w:noWrap/>
            <w:vAlign w:val="bottom"/>
            <w:hideMark/>
          </w:tcPr>
          <w:p w:rsidR="000F7B19" w:rsidRPr="00192ED6" w:rsidRDefault="000F7B19" w:rsidP="000F7B1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Viviendas turísticas (VT)</w:t>
            </w:r>
          </w:p>
        </w:tc>
        <w:tc>
          <w:tcPr>
            <w:tcW w:w="850" w:type="dxa"/>
            <w:shd w:val="clear" w:color="auto" w:fill="E2EFD9" w:themeFill="accent6" w:themeFillTint="33"/>
            <w:noWrap/>
            <w:vAlign w:val="bottom"/>
            <w:hideMark/>
          </w:tcPr>
          <w:p w:rsidR="000F7B19" w:rsidRPr="00192ED6" w:rsidRDefault="000F7B19" w:rsidP="000F7B1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Viviendas vacías</w:t>
            </w:r>
          </w:p>
        </w:tc>
        <w:tc>
          <w:tcPr>
            <w:tcW w:w="713" w:type="dxa"/>
            <w:vMerge w:val="restart"/>
            <w:shd w:val="clear" w:color="auto" w:fill="E2EFD9" w:themeFill="accent6" w:themeFillTint="33"/>
            <w:vAlign w:val="bottom"/>
          </w:tcPr>
          <w:p w:rsidR="000F7B19" w:rsidRPr="00192ED6" w:rsidRDefault="000F7B19" w:rsidP="000F7B1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%VT/VF</w:t>
            </w:r>
          </w:p>
        </w:tc>
        <w:tc>
          <w:tcPr>
            <w:tcW w:w="846" w:type="dxa"/>
            <w:vMerge w:val="restart"/>
            <w:shd w:val="clear" w:color="auto" w:fill="E2EFD9" w:themeFill="accent6" w:themeFillTint="33"/>
            <w:noWrap/>
            <w:vAlign w:val="bottom"/>
            <w:hideMark/>
          </w:tcPr>
          <w:p w:rsidR="000F7B19" w:rsidRPr="00192ED6" w:rsidRDefault="000F7B19" w:rsidP="000F7B1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%VT/V no principal</w:t>
            </w:r>
          </w:p>
        </w:tc>
        <w:tc>
          <w:tcPr>
            <w:tcW w:w="567" w:type="dxa"/>
            <w:vMerge w:val="restart"/>
            <w:shd w:val="clear" w:color="auto" w:fill="E2EFD9" w:themeFill="accent6" w:themeFillTint="33"/>
            <w:noWrap/>
            <w:vAlign w:val="bottom"/>
            <w:hideMark/>
          </w:tcPr>
          <w:p w:rsidR="000F7B19" w:rsidRPr="00192ED6" w:rsidRDefault="000F7B19" w:rsidP="000F7B19">
            <w:pPr>
              <w:spacing w:after="0" w:line="240" w:lineRule="auto"/>
              <w:jc w:val="right"/>
              <w:rPr>
                <w:rFonts w:ascii="Times New Roman" w:eastAsia="Times New Roman" w:hAnsi="Times New Roman" w:cs="Times New Roman"/>
                <w:b/>
                <w:sz w:val="16"/>
                <w:szCs w:val="16"/>
                <w:lang w:eastAsia="es-ES"/>
              </w:rPr>
            </w:pPr>
            <w:r w:rsidRPr="00192ED6">
              <w:rPr>
                <w:rFonts w:ascii="Calibri" w:eastAsia="Times New Roman" w:hAnsi="Calibri" w:cs="Calibri"/>
                <w:b/>
                <w:color w:val="000000"/>
                <w:sz w:val="16"/>
                <w:szCs w:val="16"/>
                <w:lang w:eastAsia="es-ES"/>
              </w:rPr>
              <w:t>%VT/VS</w:t>
            </w:r>
          </w:p>
        </w:tc>
        <w:tc>
          <w:tcPr>
            <w:tcW w:w="850" w:type="dxa"/>
            <w:vMerge w:val="restart"/>
            <w:shd w:val="clear" w:color="auto" w:fill="E2EFD9" w:themeFill="accent6" w:themeFillTint="33"/>
            <w:noWrap/>
            <w:vAlign w:val="bottom"/>
            <w:hideMark/>
          </w:tcPr>
          <w:p w:rsidR="000F7B19" w:rsidRPr="00192ED6" w:rsidRDefault="000F7B19" w:rsidP="000F7B19">
            <w:pPr>
              <w:spacing w:after="0" w:line="240" w:lineRule="auto"/>
              <w:jc w:val="right"/>
              <w:rPr>
                <w:rFonts w:ascii="Times New Roman" w:eastAsia="Times New Roman" w:hAnsi="Times New Roman" w:cs="Times New Roman"/>
                <w:b/>
                <w:sz w:val="16"/>
                <w:szCs w:val="16"/>
                <w:lang w:eastAsia="es-ES"/>
              </w:rPr>
            </w:pPr>
            <w:r w:rsidRPr="00192ED6">
              <w:rPr>
                <w:rFonts w:ascii="Calibri" w:eastAsia="Times New Roman" w:hAnsi="Calibri" w:cs="Calibri"/>
                <w:b/>
                <w:color w:val="000000"/>
                <w:sz w:val="16"/>
                <w:szCs w:val="16"/>
                <w:lang w:eastAsia="es-ES"/>
              </w:rPr>
              <w:t>VT/V régimen alquiler</w:t>
            </w:r>
          </w:p>
        </w:tc>
        <w:tc>
          <w:tcPr>
            <w:tcW w:w="851" w:type="dxa"/>
            <w:vMerge w:val="restart"/>
            <w:shd w:val="clear" w:color="auto" w:fill="E2EFD9" w:themeFill="accent6" w:themeFillTint="33"/>
            <w:noWrap/>
            <w:vAlign w:val="bottom"/>
            <w:hideMark/>
          </w:tcPr>
          <w:p w:rsidR="000F7B19" w:rsidRPr="00192ED6" w:rsidRDefault="000F7B19" w:rsidP="000F7B19">
            <w:pPr>
              <w:spacing w:after="0" w:line="240" w:lineRule="auto"/>
              <w:jc w:val="right"/>
              <w:rPr>
                <w:rFonts w:ascii="Times New Roman" w:eastAsia="Times New Roman" w:hAnsi="Times New Roman" w:cs="Times New Roman"/>
                <w:b/>
                <w:sz w:val="16"/>
                <w:szCs w:val="16"/>
                <w:lang w:eastAsia="es-ES"/>
              </w:rPr>
            </w:pPr>
            <w:r w:rsidRPr="00192ED6">
              <w:rPr>
                <w:rFonts w:ascii="Calibri" w:eastAsia="Times New Roman" w:hAnsi="Calibri" w:cs="Calibri"/>
                <w:b/>
                <w:color w:val="000000"/>
                <w:sz w:val="16"/>
                <w:szCs w:val="16"/>
                <w:lang w:eastAsia="es-ES"/>
              </w:rPr>
              <w:t>V régimen alquiler/V vacía</w:t>
            </w:r>
          </w:p>
        </w:tc>
      </w:tr>
      <w:tr w:rsidR="000F7B19" w:rsidRPr="00867442" w:rsidTr="00192ED6">
        <w:trPr>
          <w:trHeight w:val="20"/>
          <w:jc w:val="center"/>
        </w:trPr>
        <w:tc>
          <w:tcPr>
            <w:tcW w:w="1420" w:type="dxa"/>
            <w:shd w:val="clear" w:color="auto" w:fill="auto"/>
            <w:noWrap/>
            <w:vAlign w:val="bottom"/>
            <w:hideMark/>
          </w:tcPr>
          <w:p w:rsidR="000F7B19" w:rsidRPr="00867442" w:rsidRDefault="000F7B19" w:rsidP="006252A9">
            <w:pPr>
              <w:spacing w:after="0" w:line="240" w:lineRule="auto"/>
              <w:rPr>
                <w:rFonts w:ascii="Times New Roman" w:eastAsia="Times New Roman" w:hAnsi="Times New Roman" w:cs="Times New Roman"/>
                <w:sz w:val="16"/>
                <w:szCs w:val="16"/>
                <w:lang w:eastAsia="es-ES"/>
              </w:rPr>
            </w:pPr>
          </w:p>
        </w:tc>
        <w:tc>
          <w:tcPr>
            <w:tcW w:w="987" w:type="dxa"/>
            <w:shd w:val="clear" w:color="auto" w:fill="E2EFD9" w:themeFill="accent6" w:themeFillTint="33"/>
            <w:noWrap/>
            <w:vAlign w:val="bottom"/>
            <w:hideMark/>
          </w:tcPr>
          <w:p w:rsidR="000F7B19" w:rsidRPr="00192ED6" w:rsidRDefault="000F7B19"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991" w:type="dxa"/>
            <w:shd w:val="clear" w:color="auto" w:fill="E2EFD9" w:themeFill="accent6" w:themeFillTint="33"/>
            <w:noWrap/>
            <w:vAlign w:val="bottom"/>
            <w:hideMark/>
          </w:tcPr>
          <w:p w:rsidR="000F7B19" w:rsidRPr="00192ED6" w:rsidRDefault="000F7B19"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851" w:type="dxa"/>
            <w:shd w:val="clear" w:color="auto" w:fill="E2EFD9" w:themeFill="accent6" w:themeFillTint="33"/>
            <w:noWrap/>
            <w:vAlign w:val="bottom"/>
            <w:hideMark/>
          </w:tcPr>
          <w:p w:rsidR="000F7B19" w:rsidRPr="00192ED6" w:rsidRDefault="000F7B19"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1134" w:type="dxa"/>
            <w:shd w:val="clear" w:color="auto" w:fill="E2EFD9" w:themeFill="accent6" w:themeFillTint="33"/>
            <w:noWrap/>
            <w:vAlign w:val="bottom"/>
            <w:hideMark/>
          </w:tcPr>
          <w:p w:rsidR="000F7B19" w:rsidRPr="00192ED6" w:rsidRDefault="000F7B19"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992" w:type="dxa"/>
            <w:shd w:val="clear" w:color="auto" w:fill="E2EFD9" w:themeFill="accent6" w:themeFillTint="33"/>
            <w:noWrap/>
            <w:vAlign w:val="bottom"/>
            <w:hideMark/>
          </w:tcPr>
          <w:p w:rsidR="000F7B19" w:rsidRPr="00192ED6" w:rsidRDefault="000F7B19"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850" w:type="dxa"/>
            <w:shd w:val="clear" w:color="auto" w:fill="E2EFD9" w:themeFill="accent6" w:themeFillTint="33"/>
            <w:noWrap/>
            <w:vAlign w:val="bottom"/>
            <w:hideMark/>
          </w:tcPr>
          <w:p w:rsidR="000F7B19" w:rsidRPr="00192ED6" w:rsidRDefault="000F7B19" w:rsidP="006252A9">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713" w:type="dxa"/>
            <w:vMerge/>
            <w:shd w:val="clear" w:color="auto" w:fill="auto"/>
            <w:noWrap/>
            <w:vAlign w:val="bottom"/>
            <w:hideMark/>
          </w:tcPr>
          <w:p w:rsidR="000F7B19" w:rsidRPr="00867442" w:rsidRDefault="000F7B19" w:rsidP="006252A9">
            <w:pPr>
              <w:spacing w:after="0" w:line="240" w:lineRule="auto"/>
              <w:rPr>
                <w:rFonts w:ascii="Calibri" w:eastAsia="Times New Roman" w:hAnsi="Calibri" w:cs="Calibri"/>
                <w:color w:val="000000"/>
                <w:sz w:val="16"/>
                <w:szCs w:val="16"/>
                <w:lang w:eastAsia="es-ES"/>
              </w:rPr>
            </w:pPr>
          </w:p>
        </w:tc>
        <w:tc>
          <w:tcPr>
            <w:tcW w:w="846" w:type="dxa"/>
            <w:vMerge/>
            <w:shd w:val="clear" w:color="auto" w:fill="auto"/>
            <w:noWrap/>
            <w:vAlign w:val="bottom"/>
            <w:hideMark/>
          </w:tcPr>
          <w:p w:rsidR="000F7B19" w:rsidRPr="00867442" w:rsidRDefault="000F7B19" w:rsidP="006252A9">
            <w:pPr>
              <w:spacing w:after="0" w:line="240" w:lineRule="auto"/>
              <w:rPr>
                <w:rFonts w:ascii="Calibri" w:eastAsia="Times New Roman" w:hAnsi="Calibri" w:cs="Calibri"/>
                <w:color w:val="000000"/>
                <w:sz w:val="16"/>
                <w:szCs w:val="16"/>
                <w:lang w:eastAsia="es-ES"/>
              </w:rPr>
            </w:pPr>
          </w:p>
        </w:tc>
        <w:tc>
          <w:tcPr>
            <w:tcW w:w="567" w:type="dxa"/>
            <w:vMerge/>
            <w:shd w:val="clear" w:color="auto" w:fill="auto"/>
            <w:noWrap/>
            <w:vAlign w:val="bottom"/>
            <w:hideMark/>
          </w:tcPr>
          <w:p w:rsidR="000F7B19" w:rsidRPr="00867442" w:rsidRDefault="000F7B19" w:rsidP="006252A9">
            <w:pPr>
              <w:spacing w:after="0" w:line="240" w:lineRule="auto"/>
              <w:rPr>
                <w:rFonts w:ascii="Calibri" w:eastAsia="Times New Roman" w:hAnsi="Calibri" w:cs="Calibri"/>
                <w:color w:val="000000"/>
                <w:sz w:val="16"/>
                <w:szCs w:val="16"/>
                <w:lang w:eastAsia="es-ES"/>
              </w:rPr>
            </w:pPr>
          </w:p>
        </w:tc>
        <w:tc>
          <w:tcPr>
            <w:tcW w:w="850" w:type="dxa"/>
            <w:vMerge/>
            <w:shd w:val="clear" w:color="auto" w:fill="auto"/>
            <w:noWrap/>
            <w:vAlign w:val="bottom"/>
            <w:hideMark/>
          </w:tcPr>
          <w:p w:rsidR="000F7B19" w:rsidRPr="00867442" w:rsidRDefault="000F7B19" w:rsidP="006252A9">
            <w:pPr>
              <w:spacing w:after="0" w:line="240" w:lineRule="auto"/>
              <w:rPr>
                <w:rFonts w:ascii="Calibri" w:eastAsia="Times New Roman" w:hAnsi="Calibri" w:cs="Calibri"/>
                <w:color w:val="000000"/>
                <w:sz w:val="16"/>
                <w:szCs w:val="16"/>
                <w:lang w:eastAsia="es-ES"/>
              </w:rPr>
            </w:pPr>
          </w:p>
        </w:tc>
        <w:tc>
          <w:tcPr>
            <w:tcW w:w="851" w:type="dxa"/>
            <w:vMerge/>
            <w:shd w:val="clear" w:color="auto" w:fill="auto"/>
            <w:noWrap/>
            <w:vAlign w:val="bottom"/>
            <w:hideMark/>
          </w:tcPr>
          <w:p w:rsidR="000F7B19" w:rsidRPr="00867442" w:rsidRDefault="000F7B19" w:rsidP="006252A9">
            <w:pPr>
              <w:spacing w:after="0" w:line="240" w:lineRule="auto"/>
              <w:rPr>
                <w:rFonts w:ascii="Calibri" w:eastAsia="Times New Roman" w:hAnsi="Calibri" w:cs="Calibri"/>
                <w:color w:val="000000"/>
                <w:sz w:val="16"/>
                <w:szCs w:val="16"/>
                <w:lang w:eastAsia="es-ES"/>
              </w:rPr>
            </w:pP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0F7B19" w:rsidRDefault="000E0D3D" w:rsidP="006252A9">
            <w:pPr>
              <w:spacing w:after="0" w:line="240" w:lineRule="auto"/>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Andalucía</w:t>
            </w:r>
          </w:p>
        </w:tc>
        <w:tc>
          <w:tcPr>
            <w:tcW w:w="987"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4.674.873</w:t>
            </w:r>
          </w:p>
        </w:tc>
        <w:tc>
          <w:tcPr>
            <w:tcW w:w="991"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1.431.877</w:t>
            </w:r>
          </w:p>
        </w:tc>
        <w:tc>
          <w:tcPr>
            <w:tcW w:w="851"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790.440</w:t>
            </w:r>
          </w:p>
        </w:tc>
        <w:tc>
          <w:tcPr>
            <w:tcW w:w="1134"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368.278</w:t>
            </w:r>
          </w:p>
        </w:tc>
        <w:tc>
          <w:tcPr>
            <w:tcW w:w="992"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61.574</w:t>
            </w:r>
          </w:p>
        </w:tc>
        <w:tc>
          <w:tcPr>
            <w:tcW w:w="850"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641.437</w:t>
            </w:r>
          </w:p>
        </w:tc>
        <w:tc>
          <w:tcPr>
            <w:tcW w:w="713"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1,32</w:t>
            </w:r>
          </w:p>
        </w:tc>
        <w:tc>
          <w:tcPr>
            <w:tcW w:w="846"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4,3</w:t>
            </w:r>
          </w:p>
        </w:tc>
        <w:tc>
          <w:tcPr>
            <w:tcW w:w="567"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7,8</w:t>
            </w:r>
          </w:p>
        </w:tc>
        <w:tc>
          <w:tcPr>
            <w:tcW w:w="850"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16,7</w:t>
            </w:r>
          </w:p>
        </w:tc>
        <w:tc>
          <w:tcPr>
            <w:tcW w:w="851"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57,4</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Aragón</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841.363</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301.128</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171.258</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84.624</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3.521</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129.870</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0,42</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1,2</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2,1</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4,2</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65,2</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Asturias</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674.342</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227.773</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127.127</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58.184</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4.373</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100.646</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0,65</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1,9</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3,4</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7,5</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57,8</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Baleares</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652.123</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210.587</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105.153</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103.526</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27.703</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105.434</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4,25</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13,2</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26,3</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26,8</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98,2</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Canarias</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1.088.728</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268.385</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57.054</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180.186</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37.855</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211.331</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3,48</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14,1</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66,3</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21</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85,3</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Cantabria</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383.642</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145.412</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95.915</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27.565</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4.323</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49.497</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1,13</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4,5</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15,7</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55,7</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Castilla y León</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1.829.954</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547.578</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243.637</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121.618</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5.403</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303.941</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0,3</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2,2</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4,4</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40,0</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Castilla-La Mancha</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1.347.301</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804.216</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443.612</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92.933</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3.191</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360.604</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0,24</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0,4</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0,7</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3,4</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25,8</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Cataluña</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3.915.129</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925.770</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507.158</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692.285</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54.646</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418.612</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1,4</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5,9</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10,8</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7,9</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165,4</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C.Valenciana</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3.285.786</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1.263.285</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804.074</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286.129</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49.757</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459.211</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1,51</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3,9</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6,2</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17,4</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62,3</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Extremadura</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698.505</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264.141</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140.717</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39.560</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1.268</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123.424</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0,18</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0,5</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0,9</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3,2</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32,1</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Galicia</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1.757.789</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666.698</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160.328</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134.252</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11.398</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506.370</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0,65</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1,7</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7,1</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8,5</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26,5</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Madrid</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2.957.295</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410.452</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222.594</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525.834</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17.802</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187.858</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0,6</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4,3</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3,4</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279,9</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Murcia</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844.265</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303.603</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200.440</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84.578</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5.722</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103.163</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0,68</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1,9</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2,9</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6,8</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82,0</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Navarra</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331.104</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74.774</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41.782</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33.777</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993</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32.992</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0,3</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1,3</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2,4</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2,9</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102,4</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País Vasco</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1.075.077</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155.573</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85.621</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122.737</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4.016</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69.952</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0,37</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2,6</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4,7</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3,3</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175,5</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La Rioja</w:t>
            </w:r>
          </w:p>
        </w:tc>
        <w:tc>
          <w:tcPr>
            <w:tcW w:w="98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211.333</w:t>
            </w:r>
          </w:p>
        </w:tc>
        <w:tc>
          <w:tcPr>
            <w:tcW w:w="99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79.092</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53.158</w:t>
            </w:r>
          </w:p>
        </w:tc>
        <w:tc>
          <w:tcPr>
            <w:tcW w:w="1134"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14.963</w:t>
            </w:r>
          </w:p>
        </w:tc>
        <w:tc>
          <w:tcPr>
            <w:tcW w:w="992"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1.061</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25.934</w:t>
            </w:r>
          </w:p>
        </w:tc>
        <w:tc>
          <w:tcPr>
            <w:tcW w:w="713"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0,5</w:t>
            </w:r>
          </w:p>
        </w:tc>
        <w:tc>
          <w:tcPr>
            <w:tcW w:w="846"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1,3</w:t>
            </w:r>
          </w:p>
        </w:tc>
        <w:tc>
          <w:tcPr>
            <w:tcW w:w="567"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2</w:t>
            </w:r>
          </w:p>
        </w:tc>
        <w:tc>
          <w:tcPr>
            <w:tcW w:w="850"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7,1</w:t>
            </w:r>
          </w:p>
        </w:tc>
        <w:tc>
          <w:tcPr>
            <w:tcW w:w="851" w:type="dxa"/>
            <w:shd w:val="clear" w:color="auto" w:fill="auto"/>
            <w:noWrap/>
            <w:vAlign w:val="bottom"/>
            <w:hideMark/>
          </w:tcPr>
          <w:p w:rsidR="000E0D3D" w:rsidRPr="00867442" w:rsidRDefault="000E0D3D" w:rsidP="006252A9">
            <w:pPr>
              <w:spacing w:after="0" w:line="240" w:lineRule="auto"/>
              <w:jc w:val="right"/>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57,7</w:t>
            </w:r>
          </w:p>
        </w:tc>
      </w:tr>
      <w:tr w:rsidR="000E0D3D" w:rsidRPr="00867442" w:rsidTr="007F0F03">
        <w:trPr>
          <w:trHeight w:val="20"/>
          <w:jc w:val="center"/>
        </w:trPr>
        <w:tc>
          <w:tcPr>
            <w:tcW w:w="1420" w:type="dxa"/>
            <w:shd w:val="clear" w:color="auto" w:fill="E2EFD9" w:themeFill="accent6" w:themeFillTint="33"/>
            <w:noWrap/>
            <w:vAlign w:val="bottom"/>
            <w:hideMark/>
          </w:tcPr>
          <w:p w:rsidR="000E0D3D" w:rsidRPr="000F7B19" w:rsidRDefault="000E0D3D" w:rsidP="006252A9">
            <w:pPr>
              <w:spacing w:after="0" w:line="240" w:lineRule="auto"/>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TOTAL NACIONAL</w:t>
            </w:r>
          </w:p>
        </w:tc>
        <w:tc>
          <w:tcPr>
            <w:tcW w:w="987"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26.626.315</w:t>
            </w:r>
          </w:p>
        </w:tc>
        <w:tc>
          <w:tcPr>
            <w:tcW w:w="991"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8.087.092</w:t>
            </w:r>
          </w:p>
        </w:tc>
        <w:tc>
          <w:tcPr>
            <w:tcW w:w="851"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4.249.764</w:t>
            </w:r>
          </w:p>
        </w:tc>
        <w:tc>
          <w:tcPr>
            <w:tcW w:w="1134"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2.983.619</w:t>
            </w:r>
          </w:p>
        </w:tc>
        <w:tc>
          <w:tcPr>
            <w:tcW w:w="992"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294.698</w:t>
            </w:r>
          </w:p>
        </w:tc>
        <w:tc>
          <w:tcPr>
            <w:tcW w:w="850"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3.837.328</w:t>
            </w:r>
          </w:p>
        </w:tc>
        <w:tc>
          <w:tcPr>
            <w:tcW w:w="713"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1,11</w:t>
            </w:r>
          </w:p>
        </w:tc>
        <w:tc>
          <w:tcPr>
            <w:tcW w:w="846"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3,6</w:t>
            </w:r>
          </w:p>
        </w:tc>
        <w:tc>
          <w:tcPr>
            <w:tcW w:w="567"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6,9</w:t>
            </w:r>
          </w:p>
        </w:tc>
        <w:tc>
          <w:tcPr>
            <w:tcW w:w="850"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9,9</w:t>
            </w:r>
          </w:p>
        </w:tc>
        <w:tc>
          <w:tcPr>
            <w:tcW w:w="851" w:type="dxa"/>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77,8</w:t>
            </w:r>
          </w:p>
        </w:tc>
      </w:tr>
      <w:tr w:rsidR="000E0D3D" w:rsidRPr="00867442" w:rsidTr="00AE0656">
        <w:trPr>
          <w:trHeight w:val="20"/>
          <w:jc w:val="center"/>
        </w:trPr>
        <w:tc>
          <w:tcPr>
            <w:tcW w:w="8784" w:type="dxa"/>
            <w:gridSpan w:val="9"/>
            <w:shd w:val="clear" w:color="auto" w:fill="auto"/>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r w:rsidRPr="00867442">
              <w:rPr>
                <w:rFonts w:ascii="Calibri" w:eastAsia="Times New Roman" w:hAnsi="Calibri" w:cs="Calibri"/>
                <w:color w:val="000000"/>
                <w:sz w:val="16"/>
                <w:szCs w:val="16"/>
                <w:lang w:eastAsia="es-ES"/>
              </w:rPr>
              <w:t>* En el censo de 2021 el INE no contempla esta categoría, por lo que consideramos la siguiente expresión VS=VF-VP-VV</w:t>
            </w:r>
          </w:p>
        </w:tc>
        <w:tc>
          <w:tcPr>
            <w:tcW w:w="567" w:type="dxa"/>
            <w:shd w:val="clear" w:color="auto" w:fill="auto"/>
            <w:noWrap/>
            <w:vAlign w:val="bottom"/>
            <w:hideMark/>
          </w:tcPr>
          <w:p w:rsidR="000E0D3D" w:rsidRPr="00867442" w:rsidRDefault="000E0D3D" w:rsidP="006252A9">
            <w:pPr>
              <w:spacing w:after="0" w:line="240" w:lineRule="auto"/>
              <w:rPr>
                <w:rFonts w:ascii="Calibri" w:eastAsia="Times New Roman" w:hAnsi="Calibri" w:cs="Calibri"/>
                <w:color w:val="000000"/>
                <w:sz w:val="16"/>
                <w:szCs w:val="16"/>
                <w:lang w:eastAsia="es-ES"/>
              </w:rPr>
            </w:pPr>
          </w:p>
        </w:tc>
        <w:tc>
          <w:tcPr>
            <w:tcW w:w="850" w:type="dxa"/>
            <w:shd w:val="clear" w:color="auto" w:fill="auto"/>
            <w:noWrap/>
            <w:vAlign w:val="bottom"/>
            <w:hideMark/>
          </w:tcPr>
          <w:p w:rsidR="000E0D3D" w:rsidRPr="00867442" w:rsidRDefault="000E0D3D" w:rsidP="006252A9">
            <w:pPr>
              <w:spacing w:after="0" w:line="240" w:lineRule="auto"/>
              <w:rPr>
                <w:rFonts w:ascii="Times New Roman" w:eastAsia="Times New Roman" w:hAnsi="Times New Roman" w:cs="Times New Roman"/>
                <w:sz w:val="16"/>
                <w:szCs w:val="16"/>
                <w:lang w:eastAsia="es-ES"/>
              </w:rPr>
            </w:pPr>
          </w:p>
        </w:tc>
        <w:tc>
          <w:tcPr>
            <w:tcW w:w="851" w:type="dxa"/>
            <w:shd w:val="clear" w:color="auto" w:fill="auto"/>
            <w:noWrap/>
            <w:vAlign w:val="bottom"/>
            <w:hideMark/>
          </w:tcPr>
          <w:p w:rsidR="000E0D3D" w:rsidRPr="00867442" w:rsidRDefault="000E0D3D" w:rsidP="006252A9">
            <w:pPr>
              <w:spacing w:after="0" w:line="240" w:lineRule="auto"/>
              <w:rPr>
                <w:rFonts w:ascii="Times New Roman" w:eastAsia="Times New Roman" w:hAnsi="Times New Roman" w:cs="Times New Roman"/>
                <w:sz w:val="16"/>
                <w:szCs w:val="16"/>
                <w:lang w:eastAsia="es-ES"/>
              </w:rPr>
            </w:pPr>
          </w:p>
        </w:tc>
      </w:tr>
      <w:tr w:rsidR="000E0D3D" w:rsidRPr="00867442" w:rsidTr="00AE0656">
        <w:trPr>
          <w:trHeight w:val="20"/>
          <w:jc w:val="center"/>
        </w:trPr>
        <w:tc>
          <w:tcPr>
            <w:tcW w:w="11052" w:type="dxa"/>
            <w:gridSpan w:val="12"/>
            <w:tcBorders>
              <w:bottom w:val="single" w:sz="2" w:space="0" w:color="70AD47" w:themeColor="accent6"/>
            </w:tcBorders>
            <w:shd w:val="clear" w:color="auto" w:fill="auto"/>
            <w:noWrap/>
            <w:vAlign w:val="bottom"/>
            <w:hideMark/>
          </w:tcPr>
          <w:p w:rsidR="000E0D3D" w:rsidRPr="00867442" w:rsidRDefault="000E0D3D" w:rsidP="006252A9">
            <w:pPr>
              <w:spacing w:after="0" w:line="240" w:lineRule="auto"/>
              <w:rPr>
                <w:rFonts w:ascii="Times New Roman" w:eastAsia="Times New Roman" w:hAnsi="Times New Roman" w:cs="Times New Roman"/>
                <w:sz w:val="16"/>
                <w:szCs w:val="16"/>
                <w:lang w:eastAsia="es-ES"/>
              </w:rPr>
            </w:pPr>
            <w:r w:rsidRPr="00867442">
              <w:rPr>
                <w:rFonts w:ascii="Calibri" w:eastAsia="Times New Roman" w:hAnsi="Calibri" w:cs="Calibri"/>
                <w:color w:val="000000"/>
                <w:sz w:val="16"/>
                <w:szCs w:val="16"/>
                <w:lang w:eastAsia="es-ES"/>
              </w:rPr>
              <w:t xml:space="preserve">Fuente: </w:t>
            </w:r>
            <w:r w:rsidRPr="00DA75EA">
              <w:rPr>
                <w:rFonts w:ascii="Calibri" w:eastAsia="Times New Roman" w:hAnsi="Calibri" w:cs="Calibri"/>
                <w:i/>
                <w:color w:val="000000"/>
                <w:sz w:val="16"/>
                <w:szCs w:val="16"/>
                <w:lang w:eastAsia="es-ES"/>
              </w:rPr>
              <w:t>Analistas Económicos de Andalucía</w:t>
            </w:r>
            <w:r>
              <w:rPr>
                <w:rFonts w:ascii="Calibri" w:eastAsia="Times New Roman" w:hAnsi="Calibri" w:cs="Calibri"/>
                <w:color w:val="000000"/>
                <w:sz w:val="16"/>
                <w:szCs w:val="16"/>
                <w:lang w:eastAsia="es-ES"/>
              </w:rPr>
              <w:t xml:space="preserve"> a partir del </w:t>
            </w:r>
            <w:r w:rsidRPr="00867442">
              <w:rPr>
                <w:rFonts w:ascii="Calibri" w:eastAsia="Times New Roman" w:hAnsi="Calibri" w:cs="Calibri"/>
                <w:color w:val="000000"/>
                <w:sz w:val="16"/>
                <w:szCs w:val="16"/>
                <w:lang w:eastAsia="es-ES"/>
              </w:rPr>
              <w:t xml:space="preserve">Observatorio </w:t>
            </w:r>
            <w:r w:rsidR="003A5FE2">
              <w:rPr>
                <w:rFonts w:ascii="Calibri" w:eastAsia="Times New Roman" w:hAnsi="Calibri" w:cs="Calibri"/>
                <w:color w:val="000000"/>
                <w:sz w:val="16"/>
                <w:szCs w:val="16"/>
                <w:lang w:eastAsia="es-ES"/>
              </w:rPr>
              <w:t xml:space="preserve">de </w:t>
            </w:r>
            <w:r w:rsidRPr="00867442">
              <w:rPr>
                <w:rFonts w:ascii="Calibri" w:eastAsia="Times New Roman" w:hAnsi="Calibri" w:cs="Calibri"/>
                <w:color w:val="000000"/>
                <w:sz w:val="16"/>
                <w:szCs w:val="16"/>
                <w:lang w:eastAsia="es-ES"/>
              </w:rPr>
              <w:t>vivienda y suelo, Ministerio de Vivienda y Agenda Urbana.</w:t>
            </w:r>
          </w:p>
        </w:tc>
      </w:tr>
    </w:tbl>
    <w:p w:rsidR="000E0D3D" w:rsidRPr="00E71B31" w:rsidRDefault="000E0D3D" w:rsidP="000E0D3D">
      <w:pPr>
        <w:jc w:val="both"/>
        <w:rPr>
          <w:b/>
        </w:rPr>
      </w:pPr>
    </w:p>
    <w:p w:rsidR="000E0D3D" w:rsidRPr="00FC5726" w:rsidRDefault="000E0D3D" w:rsidP="000E0D3D">
      <w:pPr>
        <w:jc w:val="both"/>
      </w:pPr>
      <w:r w:rsidRPr="00FC5726">
        <w:t xml:space="preserve">En cuanto al análisis de </w:t>
      </w:r>
      <w:r w:rsidRPr="000369E5">
        <w:rPr>
          <w:b/>
        </w:rPr>
        <w:t>viviendas turísticas</w:t>
      </w:r>
      <w:r w:rsidRPr="00FC5726">
        <w:t xml:space="preserve"> por</w:t>
      </w:r>
      <w:r>
        <w:t xml:space="preserve"> comunidades autónomas</w:t>
      </w:r>
      <w:r w:rsidRPr="00FC5726">
        <w:t xml:space="preserve">, cabe señalar la fuerte implantación de este tipo de vivienda en </w:t>
      </w:r>
      <w:r>
        <w:t xml:space="preserve">aquellas con más peso de este sector. Destacan </w:t>
      </w:r>
      <w:r w:rsidRPr="00FC5726">
        <w:t>Baleares y Canarias, con una tasa de vivien</w:t>
      </w:r>
      <w:r>
        <w:t>das turísticas en 2021 del 4,3% y del 3,5</w:t>
      </w:r>
      <w:r w:rsidRPr="00FC5726">
        <w:t>%, res</w:t>
      </w:r>
      <w:r>
        <w:t xml:space="preserve">pectivamente, sobre el total de </w:t>
      </w:r>
      <w:r w:rsidRPr="00FC5726">
        <w:t xml:space="preserve">viviendas familiares. </w:t>
      </w:r>
      <w:r>
        <w:t>Les siguen otras comunidades</w:t>
      </w:r>
      <w:r w:rsidRPr="00FC5726">
        <w:t xml:space="preserve"> fuertemente turísticas como Comunidad Valenciana, Cataluña y Andalucía, con tasas de vivienda turística sobre el parqu</w:t>
      </w:r>
      <w:r>
        <w:t>e de vivienda familiar del 1,5%, 1,4% y 1,3</w:t>
      </w:r>
      <w:r w:rsidRPr="00FC5726">
        <w:t>%.</w:t>
      </w:r>
    </w:p>
    <w:p w:rsidR="000E0D3D" w:rsidRDefault="000E0D3D" w:rsidP="000E0D3D">
      <w:pPr>
        <w:jc w:val="both"/>
      </w:pPr>
      <w:r w:rsidRPr="00FC5726">
        <w:t>Por el contrario, Extremadu</w:t>
      </w:r>
      <w:r>
        <w:t>ra, Castilla y León, Castilla-</w:t>
      </w:r>
      <w:r w:rsidRPr="00FC5726">
        <w:t>La Mancha, Navarra y País Vasco se sitúan a la cola en el número de viviendas turísticas, con tas</w:t>
      </w:r>
      <w:r>
        <w:t>as del 0,18%, 0,24%, 0,3%, 0,3% y 0,37</w:t>
      </w:r>
      <w:r w:rsidRPr="00FC5726">
        <w:t xml:space="preserve">%, respectivamente. Por otro lado, caben destacar Cataluña, Madrid y País Vasco ya que, si bien no presentan tasas elevadas de vivienda turística sobre el total del parque de vivienda familiar, sí que presentan un índice elevado de vivienda turística sobre el parque de vivienda no principal proporcionalmente más alto que el que se da en otras </w:t>
      </w:r>
      <w:r>
        <w:t>comunidades.</w:t>
      </w:r>
    </w:p>
    <w:p w:rsidR="000E0D3D" w:rsidRDefault="000E0D3D" w:rsidP="000E0D3D">
      <w:pPr>
        <w:jc w:val="both"/>
      </w:pPr>
      <w:r>
        <w:t>Respecto al</w:t>
      </w:r>
      <w:r w:rsidRPr="00FC5726">
        <w:t xml:space="preserve"> porcentaje de </w:t>
      </w:r>
      <w:r w:rsidRPr="002C085F">
        <w:rPr>
          <w:i/>
        </w:rPr>
        <w:t>vivienda turística en relación con el parque de vivienda en régimen de alquiler</w:t>
      </w:r>
      <w:r>
        <w:t>,</w:t>
      </w:r>
      <w:r w:rsidRPr="00FC5726">
        <w:t xml:space="preserve"> Canarias y Baleares ofr</w:t>
      </w:r>
      <w:r>
        <w:t>ecen datos muy elevados, del 21</w:t>
      </w:r>
      <w:r w:rsidRPr="00FC5726">
        <w:t xml:space="preserve">% y del 26,8%, de vivienda turística sobre el total de vivienda en régimen de alquiler, </w:t>
      </w:r>
      <w:r w:rsidRPr="002C085F">
        <w:t>lo cual evidencia que la vivienda turística contribuye a tensionar aún más el mercado de vivienda en alquiler.</w:t>
      </w:r>
      <w:r w:rsidRPr="00FC5726">
        <w:t xml:space="preserve"> No obstante, las tasas de vivienda turística sobre el parque de vivienda en régimen de alquiler resu</w:t>
      </w:r>
      <w:r>
        <w:t>ltan elevadas en todas las comunidades.</w:t>
      </w:r>
    </w:p>
    <w:p w:rsidR="000E0D3D" w:rsidRDefault="000E0D3D" w:rsidP="000E0D3D">
      <w:pPr>
        <w:jc w:val="both"/>
      </w:pPr>
      <w:r w:rsidRPr="00D11F9F">
        <w:t xml:space="preserve">Por otro lado, la ratio </w:t>
      </w:r>
      <w:r w:rsidRPr="00D11F9F">
        <w:rPr>
          <w:i/>
        </w:rPr>
        <w:t>viviendas en alquiler sobre viviendas vacías</w:t>
      </w:r>
      <w:r w:rsidRPr="00D11F9F">
        <w:t xml:space="preserve"> en el agregado nacional se ha situado en 2021 en el 77,8%, frente al 57,4% de Andalucía. Madrid, Cataluña, País Vasco y la Rioja registran las tasas más elevadas, mientras que Extremadura, Galicia y Castilla-La Mancha registran los porcentajes más bajos.</w:t>
      </w:r>
    </w:p>
    <w:p w:rsidR="000E0D3D" w:rsidRPr="0055134C" w:rsidRDefault="000E0D3D" w:rsidP="000E0D3D">
      <w:pPr>
        <w:jc w:val="both"/>
      </w:pPr>
      <w:r>
        <w:t>Por provincias, las</w:t>
      </w:r>
      <w:r w:rsidRPr="0055134C">
        <w:t xml:space="preserve"> de la c</w:t>
      </w:r>
      <w:r>
        <w:t xml:space="preserve">osta mediterránea, así como </w:t>
      </w:r>
      <w:r w:rsidRPr="0055134C">
        <w:t>Canarias, son las que mayores índices de vivienda t</w:t>
      </w:r>
      <w:r>
        <w:t>urística presentan</w:t>
      </w:r>
      <w:r w:rsidRPr="0055134C">
        <w:t xml:space="preserve">. Concretamente, de las </w:t>
      </w:r>
      <w:r>
        <w:t>12</w:t>
      </w:r>
      <w:r w:rsidRPr="0055134C">
        <w:t xml:space="preserve"> provincias con una tasa de vivienda turística sobre el total de viviendas familiares superior al 1 %, nueve de ellas, son provincias de la costa mediterránea o canaria, salvo Huesca, Cantabria y Cádiz. Cabe igualmente destacar el </w:t>
      </w:r>
      <w:r w:rsidRPr="0055134C">
        <w:lastRenderedPageBreak/>
        <w:t>porcentaje de vivienda turística sobre el total de vivienda en alquiler en provincias como Málaga, donde este indicador supera el 35%.</w:t>
      </w:r>
    </w:p>
    <w:p w:rsidR="000E0D3D" w:rsidRDefault="00961044" w:rsidP="00961044">
      <w:pPr>
        <w:autoSpaceDE w:val="0"/>
        <w:autoSpaceDN w:val="0"/>
        <w:adjustRightInd w:val="0"/>
        <w:spacing w:after="0" w:line="240" w:lineRule="auto"/>
        <w:jc w:val="center"/>
        <w:rPr>
          <w:rFonts w:ascii="Candara" w:hAnsi="Candara" w:cs="Candara"/>
        </w:rPr>
      </w:pPr>
      <w:r w:rsidRPr="00961044">
        <w:rPr>
          <w:noProof/>
          <w:lang w:eastAsia="es-ES"/>
        </w:rPr>
        <w:drawing>
          <wp:inline distT="0" distB="0" distL="0" distR="0">
            <wp:extent cx="4572000" cy="3425825"/>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25825"/>
                    </a:xfrm>
                    <a:prstGeom prst="rect">
                      <a:avLst/>
                    </a:prstGeom>
                    <a:noFill/>
                    <a:ln>
                      <a:noFill/>
                    </a:ln>
                  </pic:spPr>
                </pic:pic>
              </a:graphicData>
            </a:graphic>
          </wp:inline>
        </w:drawing>
      </w:r>
    </w:p>
    <w:p w:rsidR="00961044" w:rsidRPr="0055134C" w:rsidRDefault="00961044" w:rsidP="000E0D3D">
      <w:pPr>
        <w:autoSpaceDE w:val="0"/>
        <w:autoSpaceDN w:val="0"/>
        <w:adjustRightInd w:val="0"/>
        <w:spacing w:after="0" w:line="240" w:lineRule="auto"/>
        <w:rPr>
          <w:rFonts w:ascii="Candara" w:hAnsi="Candara" w:cs="Candara"/>
        </w:rPr>
      </w:pPr>
    </w:p>
    <w:p w:rsidR="000E0D3D" w:rsidRDefault="000E0D3D" w:rsidP="000E0D3D">
      <w:pPr>
        <w:jc w:val="both"/>
      </w:pPr>
      <w:r>
        <w:t xml:space="preserve">En cuanto al </w:t>
      </w:r>
      <w:r w:rsidRPr="000369E5">
        <w:rPr>
          <w:b/>
        </w:rPr>
        <w:t>régimen de tenencia</w:t>
      </w:r>
      <w:r>
        <w:t xml:space="preserve">, cabe destacar el mayor protagonismo del régimen de propiedad. </w:t>
      </w:r>
      <w:r w:rsidRPr="001E1D4F">
        <w:t>Concretamente, este régimen está formado por cerca de 14 mil</w:t>
      </w:r>
      <w:r>
        <w:t>lones de unidades de viviendas en el agregado nacional, representando el 75,5</w:t>
      </w:r>
      <w:r w:rsidRPr="001E1D4F">
        <w:t>% del total de este tipo de viviendas, fren</w:t>
      </w:r>
      <w:r>
        <w:t xml:space="preserve">te a los cerca de 3 millones de viviendas </w:t>
      </w:r>
      <w:r w:rsidRPr="001E1D4F">
        <w:t xml:space="preserve">en alquiler y los 1,5 millones de viviendas en otro régimen de tenencia. </w:t>
      </w:r>
      <w:r>
        <w:t xml:space="preserve">La categoría de otro régimen de </w:t>
      </w:r>
      <w:r w:rsidRPr="001E1D4F">
        <w:t xml:space="preserve">tenencia </w:t>
      </w:r>
      <w:r>
        <w:t>engloba</w:t>
      </w:r>
      <w:r w:rsidRPr="001E1D4F">
        <w:t xml:space="preserve"> la cesión gratuita de vivienda, el usufructo o </w:t>
      </w:r>
      <w:r>
        <w:t xml:space="preserve">el derecho de superficie, entre </w:t>
      </w:r>
      <w:r w:rsidRPr="001E1D4F">
        <w:t>otros, pero que, por su escasa cuantía, el INE decide agrupar</w:t>
      </w:r>
      <w:r>
        <w:t>.</w:t>
      </w:r>
    </w:p>
    <w:p w:rsidR="000E0D3D" w:rsidRPr="00CA5F63" w:rsidRDefault="000E0D3D" w:rsidP="000E0D3D">
      <w:pPr>
        <w:jc w:val="both"/>
      </w:pPr>
      <w:r>
        <w:t>Por comunidades</w:t>
      </w:r>
      <w:r w:rsidRPr="00CA5F63">
        <w:t xml:space="preserve">, </w:t>
      </w:r>
      <w:r>
        <w:t>en todas ellas,</w:t>
      </w:r>
      <w:r w:rsidRPr="00CA5F63">
        <w:t xml:space="preserve"> el princ</w:t>
      </w:r>
      <w:r>
        <w:t xml:space="preserve">ipal régimen de tenencia de las </w:t>
      </w:r>
      <w:r w:rsidRPr="00CA5F63">
        <w:t>viviendas principales convencionales es la propiedad seguida del alquiler, existen diferencias sustanciales entre ellas en función del carácter más urbano o rural de la comunidad autónoma, o en su caso, también, de su carácter turístico.</w:t>
      </w:r>
    </w:p>
    <w:p w:rsidR="000E0D3D" w:rsidRPr="00CA5F63" w:rsidRDefault="000E0D3D" w:rsidP="000E0D3D">
      <w:pPr>
        <w:jc w:val="both"/>
      </w:pPr>
      <w:r w:rsidRPr="00CA5F63">
        <w:t>En este sentido, destacan Baleares, Cataluña, Canarias y Madrid por presentar tasas d</w:t>
      </w:r>
      <w:r>
        <w:t>e vivienda en alquiler del 23,4%, 23,2%, 22,0% y 20,6</w:t>
      </w:r>
      <w:r w:rsidRPr="00CA5F63">
        <w:t xml:space="preserve">%, respectivamente, frente a Extremadura, La Rioja, Andalucía, Cantabria y Castilla y León, que presentan </w:t>
      </w:r>
      <w:r>
        <w:t>tasas del 9,1%, 11,3%, 11,4</w:t>
      </w:r>
      <w:r w:rsidRPr="00CA5F63">
        <w:t xml:space="preserve">% </w:t>
      </w:r>
      <w:r>
        <w:t>y 11,6</w:t>
      </w:r>
      <w:r w:rsidRPr="00CA5F63">
        <w:t xml:space="preserve">%, respectivamente. </w:t>
      </w:r>
      <w:r>
        <w:t xml:space="preserve">Asimismo, </w:t>
      </w:r>
      <w:r w:rsidRPr="00CA5F63">
        <w:t xml:space="preserve">el fenómeno de la despoblación también contribuye a la reducción de la tasa de vivienda en régimen de alquiler, tal y como corrobora el hecho de que las </w:t>
      </w:r>
      <w:r>
        <w:t>comunidades</w:t>
      </w:r>
      <w:r w:rsidRPr="00CA5F63">
        <w:t xml:space="preserve"> de la llamada España vaciada tengan bajos índices de vivienda en alquiler. No obstante, cabe matizar el compo</w:t>
      </w:r>
      <w:r>
        <w:t xml:space="preserve">rtamiento de País Vasco y </w:t>
      </w:r>
      <w:r w:rsidRPr="00CA5F63">
        <w:t xml:space="preserve">Navarra, ya que a pesar de ser </w:t>
      </w:r>
      <w:r>
        <w:t>comunidades</w:t>
      </w:r>
      <w:r w:rsidRPr="00CA5F63">
        <w:t xml:space="preserve"> relativamente densamente pobladas, presentan reducidas tasas de vivienda principal en régimen de alquiler y, por el contrario, elevadas tasas de vivie</w:t>
      </w:r>
      <w:r>
        <w:t>nda en régimen de propiedad</w:t>
      </w:r>
      <w:r w:rsidRPr="00CA5F63">
        <w:t>.</w:t>
      </w:r>
    </w:p>
    <w:p w:rsidR="000E0D3D" w:rsidRDefault="000E0D3D" w:rsidP="000E0D3D">
      <w:pPr>
        <w:jc w:val="both"/>
      </w:pPr>
      <w:r w:rsidRPr="00CA5F63">
        <w:t>Por otra parte, el aumento del alquiler ha sido generalizado en todas las</w:t>
      </w:r>
      <w:r>
        <w:t xml:space="preserve"> comunidades, si bien hay que destacar </w:t>
      </w:r>
      <w:r w:rsidRPr="00CA5F63">
        <w:t>el comportamiento del País Vasco, Canarias y Comunidad Va</w:t>
      </w:r>
      <w:r>
        <w:t xml:space="preserve">lenciana, con </w:t>
      </w:r>
      <w:r>
        <w:lastRenderedPageBreak/>
        <w:t>aumentos del 40,7%, 40,6</w:t>
      </w:r>
      <w:r w:rsidRPr="00CA5F63">
        <w:t>% y</w:t>
      </w:r>
      <w:r>
        <w:t xml:space="preserve"> 37,6</w:t>
      </w:r>
      <w:r w:rsidRPr="00CA5F63">
        <w:t xml:space="preserve">%, respectivamente, así como el dato de La Rioja, por ser la única </w:t>
      </w:r>
      <w:r>
        <w:t>comunidad</w:t>
      </w:r>
      <w:r w:rsidRPr="00CA5F63">
        <w:t xml:space="preserve"> que ha</w:t>
      </w:r>
      <w:r>
        <w:t xml:space="preserve"> </w:t>
      </w:r>
      <w:r w:rsidRPr="00CA5F63">
        <w:t>reducido su parque de vivienda en al</w:t>
      </w:r>
      <w:r>
        <w:t>quiler.</w:t>
      </w:r>
    </w:p>
    <w:p w:rsidR="000E0D3D" w:rsidRDefault="000E0D3D" w:rsidP="000E0D3D">
      <w:pPr>
        <w:jc w:val="both"/>
      </w:pPr>
      <w:r w:rsidRPr="00CA5F63">
        <w:t xml:space="preserve">En cuanto a la </w:t>
      </w:r>
      <w:r w:rsidRPr="000369E5">
        <w:rPr>
          <w:i/>
        </w:rPr>
        <w:t>variación</w:t>
      </w:r>
      <w:r w:rsidRPr="00CA5F63">
        <w:t xml:space="preserve"> del régimen de tenencia, </w:t>
      </w:r>
      <w:r>
        <w:t xml:space="preserve">se observa que </w:t>
      </w:r>
      <w:r w:rsidRPr="00CA5F63">
        <w:t>durante este último decenio ha sido claramente favorable al régime</w:t>
      </w:r>
      <w:r>
        <w:t>n de alquiler, con un aumento a nivel nacional del 22,4</w:t>
      </w:r>
      <w:r w:rsidRPr="00CA5F63">
        <w:t>% en detrimento del régimen de pr</w:t>
      </w:r>
      <w:r>
        <w:t>opiedad, que ha disminuido alrededor de un 2</w:t>
      </w:r>
      <w:r w:rsidRPr="00CA5F63">
        <w:t>% respecto al</w:t>
      </w:r>
      <w:r w:rsidR="00B4483F">
        <w:t xml:space="preserve"> anterior c</w:t>
      </w:r>
      <w:r>
        <w:t>enso. Asi</w:t>
      </w:r>
      <w:r w:rsidRPr="00CA5F63">
        <w:t>mismo, los otros tipos de régimen de tenencia han aumentado su participación en</w:t>
      </w:r>
      <w:r>
        <w:t xml:space="preserve"> </w:t>
      </w:r>
      <w:r w:rsidRPr="00CA5F63">
        <w:t>un 14,2 %.</w:t>
      </w:r>
      <w:r>
        <w:t xml:space="preserve"> En el caso de Andalucía se ha incrementado tanto la vivienda en propiedad como en alquiler, si bien cabe destacar el aumento más intenso de las segundas (1,9% y 21,6%, respectivamente) entre 2011 y 2021.</w:t>
      </w:r>
    </w:p>
    <w:p w:rsidR="00145A4A" w:rsidRDefault="00145A4A" w:rsidP="000E0D3D">
      <w:pPr>
        <w:jc w:val="both"/>
      </w:pPr>
    </w:p>
    <w:tbl>
      <w:tblPr>
        <w:tblW w:w="0" w:type="auto"/>
        <w:tblCellMar>
          <w:left w:w="70" w:type="dxa"/>
          <w:right w:w="70" w:type="dxa"/>
        </w:tblCellMar>
        <w:tblLook w:val="04A0" w:firstRow="1" w:lastRow="0" w:firstColumn="1" w:lastColumn="0" w:noHBand="0" w:noVBand="1"/>
      </w:tblPr>
      <w:tblGrid>
        <w:gridCol w:w="1360"/>
        <w:gridCol w:w="2106"/>
        <w:gridCol w:w="875"/>
        <w:gridCol w:w="705"/>
        <w:gridCol w:w="794"/>
        <w:gridCol w:w="705"/>
        <w:gridCol w:w="977"/>
        <w:gridCol w:w="868"/>
      </w:tblGrid>
      <w:tr w:rsidR="000E0D3D" w:rsidRPr="002A723F" w:rsidTr="000F70C3">
        <w:tc>
          <w:tcPr>
            <w:tcW w:w="0" w:type="auto"/>
            <w:gridSpan w:val="5"/>
            <w:tcBorders>
              <w:top w:val="single" w:sz="2" w:space="0" w:color="70AD47" w:themeColor="accent6"/>
              <w:left w:val="nil"/>
              <w:bottom w:val="nil"/>
              <w:right w:val="nil"/>
            </w:tcBorders>
            <w:shd w:val="clear" w:color="auto" w:fill="auto"/>
            <w:noWrap/>
            <w:vAlign w:val="bottom"/>
            <w:hideMark/>
          </w:tcPr>
          <w:p w:rsidR="000E0D3D" w:rsidRPr="00A00554" w:rsidRDefault="000E0D3D" w:rsidP="006252A9">
            <w:pPr>
              <w:spacing w:after="0" w:line="240" w:lineRule="auto"/>
              <w:rPr>
                <w:rFonts w:ascii="Calibri" w:eastAsia="Times New Roman" w:hAnsi="Calibri" w:cs="Calibri"/>
                <w:b/>
                <w:color w:val="000000"/>
                <w:sz w:val="16"/>
                <w:szCs w:val="16"/>
                <w:lang w:eastAsia="es-ES"/>
              </w:rPr>
            </w:pPr>
            <w:r w:rsidRPr="00A00554">
              <w:rPr>
                <w:rFonts w:ascii="Calibri" w:eastAsia="Times New Roman" w:hAnsi="Calibri" w:cs="Calibri"/>
                <w:b/>
                <w:color w:val="000000"/>
                <w:sz w:val="16"/>
                <w:szCs w:val="16"/>
                <w:lang w:eastAsia="es-ES"/>
              </w:rPr>
              <w:t>Viviendas principales convencionales por régimen de tenencia en 2021</w:t>
            </w:r>
          </w:p>
        </w:tc>
        <w:tc>
          <w:tcPr>
            <w:tcW w:w="0" w:type="auto"/>
            <w:tcBorders>
              <w:top w:val="single" w:sz="2" w:space="0" w:color="70AD47" w:themeColor="accent6"/>
              <w:left w:val="nil"/>
              <w:bottom w:val="nil"/>
              <w:right w:val="nil"/>
            </w:tcBorders>
            <w:shd w:val="clear" w:color="auto" w:fill="auto"/>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0E0D3D" w:rsidRPr="002A723F"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0E0D3D" w:rsidRPr="002A723F" w:rsidRDefault="000E0D3D" w:rsidP="006252A9">
            <w:pPr>
              <w:spacing w:after="0" w:line="240" w:lineRule="auto"/>
              <w:rPr>
                <w:rFonts w:ascii="Times New Roman" w:eastAsia="Times New Roman" w:hAnsi="Times New Roman" w:cs="Times New Roman"/>
                <w:sz w:val="16"/>
                <w:szCs w:val="16"/>
                <w:lang w:eastAsia="es-ES"/>
              </w:rPr>
            </w:pPr>
          </w:p>
        </w:tc>
      </w:tr>
      <w:tr w:rsidR="000E0D3D" w:rsidRPr="002A723F" w:rsidTr="000F7B19">
        <w:tc>
          <w:tcPr>
            <w:tcW w:w="0" w:type="auto"/>
            <w:gridSpan w:val="2"/>
            <w:tcBorders>
              <w:top w:val="nil"/>
              <w:left w:val="nil"/>
              <w:bottom w:val="nil"/>
              <w:right w:val="nil"/>
            </w:tcBorders>
            <w:shd w:val="clear" w:color="auto" w:fill="auto"/>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Unidades y porcentajes</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rPr>
                <w:rFonts w:ascii="Times New Roman" w:eastAsia="Times New Roman" w:hAnsi="Times New Roman" w:cs="Times New Roman"/>
                <w:sz w:val="16"/>
                <w:szCs w:val="16"/>
                <w:lang w:eastAsia="es-ES"/>
              </w:rPr>
            </w:pPr>
          </w:p>
        </w:tc>
      </w:tr>
      <w:tr w:rsidR="000E0D3D" w:rsidRPr="002A723F" w:rsidTr="00192ED6">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Times New Roman" w:eastAsia="Times New Roman" w:hAnsi="Times New Roman" w:cs="Times New Roman"/>
                <w:b/>
                <w:sz w:val="16"/>
                <w:szCs w:val="16"/>
                <w:lang w:eastAsia="es-ES"/>
              </w:rPr>
            </w:pPr>
          </w:p>
        </w:tc>
        <w:tc>
          <w:tcPr>
            <w:tcW w:w="0" w:type="auto"/>
            <w:gridSpan w:val="2"/>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En propiedad</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En alquiler</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Otro régimen de tenencia</w:t>
            </w:r>
          </w:p>
        </w:tc>
      </w:tr>
      <w:tr w:rsidR="000E0D3D" w:rsidRPr="002A723F" w:rsidTr="00192ED6">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Viviendas principales en 2021</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Número</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%s/total</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Número</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%s/total</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Número</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192ED6">
            <w:pPr>
              <w:spacing w:after="0" w:line="240" w:lineRule="auto"/>
              <w:jc w:val="right"/>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%s/total</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0F7B19" w:rsidRDefault="000E0D3D" w:rsidP="006252A9">
            <w:pPr>
              <w:spacing w:after="0" w:line="240" w:lineRule="auto"/>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Andalucía</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3.241.130</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2.568.496</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79,2</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368.278</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11,4</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304.356</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9,4</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Aragón</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540.225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413.012</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76,5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84.624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15,7</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42.589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7,9</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Asturias</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446.569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339.885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76,1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58.184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48.500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10,9</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Baleares</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441.536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292.570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66,3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103.526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23,4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45.440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10,3</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Canarias</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820.315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531.480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64,8</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180.186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22</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108.649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13,2</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Cantabria</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238.230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185.093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77,7</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27.565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11,6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25.572</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10,7</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Castilla y León</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1.025.679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813.250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79,3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121.618</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11,9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90.811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8,9</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Castilla-La Mancha</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799.695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632.107</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92.933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11,6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74.655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9,3</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Cataluña</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2.989.357</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2.066.591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69,1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692.285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23,2</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230.481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7,7</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C.Valenciana</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2.022.501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1.574.856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77,9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286.129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14,1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161.516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Extremadura</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434.364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342.332</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78,8</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39.560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9,1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52.472</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12,1</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Galicia</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1.091.041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812.235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74,4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134.252</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12,3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144.554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13,2</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Madrid</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2.546.489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1.885.554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525.834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20,6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135.101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5,3</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Murcia</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540.497</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414.794</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76,7</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84.578</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15,6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41.125</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7,6</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Navarra</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256.330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205.146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33.777</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13,2</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17.407</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6,8</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País Vasco</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919.503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770.296</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83,8</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122.737</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13,3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26.470</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2,9</w:t>
            </w:r>
          </w:p>
        </w:tc>
      </w:tr>
      <w:tr w:rsidR="000E0D3D" w:rsidRPr="002A723F" w:rsidTr="007F0F03">
        <w:tc>
          <w:tcPr>
            <w:tcW w:w="0" w:type="auto"/>
            <w:tcBorders>
              <w:top w:val="nil"/>
              <w:left w:val="nil"/>
              <w:bottom w:val="nil"/>
              <w:right w:val="nil"/>
            </w:tcBorders>
            <w:shd w:val="clear" w:color="auto" w:fill="E2EFD9" w:themeFill="accent6" w:themeFillTint="33"/>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La Rioja</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132.241</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106.949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80,9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14.963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11,3</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10.329</w:t>
            </w:r>
          </w:p>
        </w:tc>
        <w:tc>
          <w:tcPr>
            <w:tcW w:w="0" w:type="auto"/>
            <w:tcBorders>
              <w:top w:val="nil"/>
              <w:left w:val="nil"/>
              <w:bottom w:val="nil"/>
              <w:right w:val="nil"/>
            </w:tcBorders>
            <w:shd w:val="clear" w:color="auto" w:fill="auto"/>
            <w:noWrap/>
            <w:vAlign w:val="bottom"/>
            <w:hideMark/>
          </w:tcPr>
          <w:p w:rsidR="000E0D3D" w:rsidRPr="002A723F" w:rsidRDefault="000E0D3D" w:rsidP="006252A9">
            <w:pPr>
              <w:spacing w:after="0" w:line="240" w:lineRule="auto"/>
              <w:jc w:val="right"/>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7,8</w:t>
            </w:r>
          </w:p>
        </w:tc>
      </w:tr>
      <w:tr w:rsidR="000E0D3D" w:rsidRPr="002A723F" w:rsidTr="007F0F03">
        <w:tc>
          <w:tcPr>
            <w:tcW w:w="0" w:type="auto"/>
            <w:tcBorders>
              <w:top w:val="nil"/>
              <w:left w:val="nil"/>
              <w:right w:val="nil"/>
            </w:tcBorders>
            <w:shd w:val="clear" w:color="auto" w:fill="E2EFD9" w:themeFill="accent6" w:themeFillTint="33"/>
            <w:noWrap/>
            <w:vAlign w:val="bottom"/>
            <w:hideMark/>
          </w:tcPr>
          <w:p w:rsidR="000E0D3D" w:rsidRPr="000F7B19" w:rsidRDefault="000E0D3D" w:rsidP="006252A9">
            <w:pPr>
              <w:spacing w:after="0" w:line="240" w:lineRule="auto"/>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TOTAL NACIONAL</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18.536.616</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13.988.627</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75,5</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2.983.619</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16,1</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1.564.370</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8,4</w:t>
            </w:r>
          </w:p>
        </w:tc>
      </w:tr>
      <w:tr w:rsidR="000E0D3D" w:rsidRPr="002A723F" w:rsidTr="000F70C3">
        <w:tc>
          <w:tcPr>
            <w:tcW w:w="0" w:type="auto"/>
            <w:gridSpan w:val="6"/>
            <w:tcBorders>
              <w:top w:val="nil"/>
              <w:left w:val="nil"/>
              <w:bottom w:val="single" w:sz="2" w:space="0" w:color="70AD47" w:themeColor="accent6"/>
              <w:right w:val="nil"/>
            </w:tcBorders>
            <w:shd w:val="clear" w:color="auto" w:fill="auto"/>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r w:rsidRPr="002A723F">
              <w:rPr>
                <w:rFonts w:ascii="Calibri" w:eastAsia="Times New Roman" w:hAnsi="Calibri" w:cs="Calibri"/>
                <w:color w:val="000000"/>
                <w:sz w:val="16"/>
                <w:szCs w:val="16"/>
                <w:lang w:eastAsia="es-ES"/>
              </w:rPr>
              <w:t xml:space="preserve">Fuente: Observatorio </w:t>
            </w:r>
            <w:r w:rsidR="003A5FE2">
              <w:rPr>
                <w:rFonts w:ascii="Calibri" w:eastAsia="Times New Roman" w:hAnsi="Calibri" w:cs="Calibri"/>
                <w:color w:val="000000"/>
                <w:sz w:val="16"/>
                <w:szCs w:val="16"/>
                <w:lang w:eastAsia="es-ES"/>
              </w:rPr>
              <w:t xml:space="preserve">de </w:t>
            </w:r>
            <w:r w:rsidRPr="002A723F">
              <w:rPr>
                <w:rFonts w:ascii="Calibri" w:eastAsia="Times New Roman" w:hAnsi="Calibri" w:cs="Calibri"/>
                <w:color w:val="000000"/>
                <w:sz w:val="16"/>
                <w:szCs w:val="16"/>
                <w:lang w:eastAsia="es-ES"/>
              </w:rPr>
              <w:t>vivienda y suelo, Ministerio de Vivienda y Agenda Urbana.</w:t>
            </w:r>
          </w:p>
        </w:tc>
        <w:tc>
          <w:tcPr>
            <w:tcW w:w="0" w:type="auto"/>
            <w:tcBorders>
              <w:top w:val="nil"/>
              <w:left w:val="nil"/>
              <w:bottom w:val="single" w:sz="2" w:space="0" w:color="70AD47" w:themeColor="accent6"/>
              <w:right w:val="nil"/>
            </w:tcBorders>
            <w:shd w:val="clear" w:color="auto" w:fill="auto"/>
            <w:noWrap/>
            <w:vAlign w:val="bottom"/>
            <w:hideMark/>
          </w:tcPr>
          <w:p w:rsidR="000E0D3D" w:rsidRPr="002A723F" w:rsidRDefault="000E0D3D" w:rsidP="006252A9">
            <w:pPr>
              <w:spacing w:after="0" w:line="240" w:lineRule="auto"/>
              <w:rPr>
                <w:rFonts w:ascii="Calibri" w:eastAsia="Times New Roman" w:hAnsi="Calibri" w:cs="Calibri"/>
                <w:color w:val="000000"/>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2A723F" w:rsidRDefault="000E0D3D" w:rsidP="006252A9">
            <w:pPr>
              <w:spacing w:after="0" w:line="240" w:lineRule="auto"/>
              <w:rPr>
                <w:rFonts w:ascii="Times New Roman" w:eastAsia="Times New Roman" w:hAnsi="Times New Roman" w:cs="Times New Roman"/>
                <w:sz w:val="16"/>
                <w:szCs w:val="16"/>
                <w:lang w:eastAsia="es-ES"/>
              </w:rPr>
            </w:pPr>
          </w:p>
        </w:tc>
      </w:tr>
    </w:tbl>
    <w:p w:rsidR="000E0D3D" w:rsidRDefault="000E0D3D" w:rsidP="000E0D3D">
      <w:pPr>
        <w:jc w:val="both"/>
      </w:pPr>
    </w:p>
    <w:p w:rsidR="0083334F" w:rsidRDefault="0083334F" w:rsidP="0083334F">
      <w:pPr>
        <w:jc w:val="center"/>
      </w:pPr>
      <w:r w:rsidRPr="0083334F">
        <w:rPr>
          <w:noProof/>
          <w:lang w:eastAsia="es-ES"/>
        </w:rPr>
        <w:drawing>
          <wp:inline distT="0" distB="0" distL="0" distR="0">
            <wp:extent cx="4572000" cy="3425825"/>
            <wp:effectExtent l="0" t="0" r="0" b="31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425825"/>
                    </a:xfrm>
                    <a:prstGeom prst="rect">
                      <a:avLst/>
                    </a:prstGeom>
                    <a:noFill/>
                    <a:ln>
                      <a:noFill/>
                    </a:ln>
                  </pic:spPr>
                </pic:pic>
              </a:graphicData>
            </a:graphic>
          </wp:inline>
        </w:drawing>
      </w:r>
    </w:p>
    <w:p w:rsidR="000E0D3D" w:rsidRPr="00B97C5E" w:rsidRDefault="000E0D3D" w:rsidP="000E0D3D">
      <w:pPr>
        <w:jc w:val="both"/>
      </w:pPr>
      <w:r>
        <w:lastRenderedPageBreak/>
        <w:t xml:space="preserve">A nivel provincial, las </w:t>
      </w:r>
      <w:r w:rsidRPr="00B97C5E">
        <w:t>urbanas, así como aquellas donde el sector turístico tiene más peso, son las que mayores tasas de vivienda en alquiler presentan. En este sentido, de entre las 15 provincias con mayor tasa de vivienda principal en alquiler,  destacan las cuatro provincias catalanas, Baleares, las dos provincias canarias y Madrid, con tasas todas ellas superiores al 20 %, seguidas de otras provincias urbanas como Zaragoza y, en menor medida Guipúzcoa  así como de otras provincias fuertemente turístic</w:t>
      </w:r>
      <w:r>
        <w:t>as como Murcia y Alicante.</w:t>
      </w:r>
    </w:p>
    <w:p w:rsidR="000E0D3D" w:rsidRPr="00B97C5E" w:rsidRDefault="000E0D3D" w:rsidP="000E0D3D">
      <w:pPr>
        <w:jc w:val="both"/>
      </w:pPr>
      <w:r w:rsidRPr="00B97C5E">
        <w:t>Por otro lado, de entre las 15 provincias con menor tasa de vivienda en alquiler destacan diversas provincias del interior de Andalucía, como Jaén y Córdoba, así como de ambas Castillas, como es el caso de Zamora, Ciudad Real y Palencia, y finalmente Badajoz, presentando todas ellas tasas inferiores al 10%. Estas provincias son seguidas por diversas provincias de la denominada España vaciada como Teruel, Lugo o Ávila</w:t>
      </w:r>
    </w:p>
    <w:p w:rsidR="000E0D3D" w:rsidRDefault="00C15265" w:rsidP="000F7B19">
      <w:pPr>
        <w:jc w:val="center"/>
      </w:pPr>
      <w:r w:rsidRPr="00C15265">
        <w:rPr>
          <w:noProof/>
          <w:lang w:eastAsia="es-ES"/>
        </w:rPr>
        <w:drawing>
          <wp:inline distT="0" distB="0" distL="0" distR="0">
            <wp:extent cx="4572000" cy="3425825"/>
            <wp:effectExtent l="0" t="0" r="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3425825"/>
                    </a:xfrm>
                    <a:prstGeom prst="rect">
                      <a:avLst/>
                    </a:prstGeom>
                    <a:noFill/>
                    <a:ln>
                      <a:noFill/>
                    </a:ln>
                  </pic:spPr>
                </pic:pic>
              </a:graphicData>
            </a:graphic>
          </wp:inline>
        </w:drawing>
      </w:r>
    </w:p>
    <w:p w:rsidR="000F7B19" w:rsidRDefault="000E0D3D" w:rsidP="000E0D3D">
      <w:pPr>
        <w:jc w:val="both"/>
      </w:pPr>
      <w:r w:rsidRPr="00E743DC">
        <w:t xml:space="preserve">En el último decenio, la construcción de viviendas ha evolucionado a un ritmo inferior a la demanda. Entre 2014 y 2022, se terminaron algo más de 600.000 viviendas en España, </w:t>
      </w:r>
      <w:r>
        <w:t>mientras que se registraron 784.000 nuevos hogares</w:t>
      </w:r>
      <w:r w:rsidRPr="00E743DC">
        <w:t>. En Andalucía, la contracción sufrida por la oferta ha sido similar a la del conjunto nacional, registrándose en torno a 100.000 viviendas terminadas desde 2014,</w:t>
      </w:r>
      <w:r>
        <w:t xml:space="preserve"> frente a la creación de 153.000 nuevos hogares</w:t>
      </w:r>
      <w:r w:rsidRPr="00E743DC">
        <w:t xml:space="preserve">. </w:t>
      </w:r>
      <w:r>
        <w:t>Los datos más recientes apuntan a que en la región andaluza se han terminado unas 13.300 viviendas entre enero y septiembre de 2023, lo que supondría un aumento del 16,3% respecto al dato registrado en el mismo periodo de 2022, mientras que en el agregado nacional ha permaneció prácticamente estable.</w:t>
      </w:r>
    </w:p>
    <w:p w:rsidR="000F7B19" w:rsidRDefault="000F7B19">
      <w:r>
        <w:br w:type="page"/>
      </w:r>
    </w:p>
    <w:p w:rsidR="000E0D3D" w:rsidRDefault="000E0D3D" w:rsidP="000E0D3D">
      <w:pPr>
        <w:jc w:val="both"/>
      </w:pPr>
    </w:p>
    <w:tbl>
      <w:tblPr>
        <w:tblW w:w="0" w:type="auto"/>
        <w:jc w:val="center"/>
        <w:tblCellMar>
          <w:left w:w="70" w:type="dxa"/>
          <w:right w:w="70" w:type="dxa"/>
        </w:tblCellMar>
        <w:tblLook w:val="04A0" w:firstRow="1" w:lastRow="0" w:firstColumn="1" w:lastColumn="0" w:noHBand="0" w:noVBand="1"/>
      </w:tblPr>
      <w:tblGrid>
        <w:gridCol w:w="1316"/>
        <w:gridCol w:w="702"/>
        <w:gridCol w:w="822"/>
        <w:gridCol w:w="653"/>
        <w:gridCol w:w="871"/>
        <w:gridCol w:w="589"/>
        <w:gridCol w:w="785"/>
        <w:gridCol w:w="589"/>
        <w:gridCol w:w="785"/>
      </w:tblGrid>
      <w:tr w:rsidR="00A00554" w:rsidRPr="00013D1E" w:rsidTr="00DD5221">
        <w:trPr>
          <w:trHeight w:val="300"/>
          <w:jc w:val="center"/>
        </w:trPr>
        <w:tc>
          <w:tcPr>
            <w:tcW w:w="0" w:type="auto"/>
            <w:gridSpan w:val="3"/>
            <w:tcBorders>
              <w:top w:val="single" w:sz="2" w:space="0" w:color="70AD47" w:themeColor="accent6"/>
              <w:left w:val="nil"/>
              <w:bottom w:val="nil"/>
              <w:right w:val="nil"/>
            </w:tcBorders>
            <w:shd w:val="clear" w:color="auto" w:fill="auto"/>
            <w:noWrap/>
            <w:vAlign w:val="bottom"/>
            <w:hideMark/>
          </w:tcPr>
          <w:p w:rsidR="00A00554" w:rsidRPr="00A00554" w:rsidRDefault="00A00554" w:rsidP="00A00554">
            <w:pPr>
              <w:spacing w:after="0" w:line="240" w:lineRule="auto"/>
              <w:jc w:val="both"/>
              <w:rPr>
                <w:rFonts w:ascii="Calibri" w:eastAsia="Times New Roman" w:hAnsi="Calibri" w:cs="Calibri"/>
                <w:b/>
                <w:color w:val="000000"/>
                <w:sz w:val="16"/>
                <w:szCs w:val="16"/>
                <w:lang w:eastAsia="es-ES"/>
              </w:rPr>
            </w:pPr>
            <w:r w:rsidRPr="00A00554">
              <w:rPr>
                <w:rFonts w:ascii="Calibri" w:eastAsia="Times New Roman" w:hAnsi="Calibri" w:cs="Calibri"/>
                <w:b/>
                <w:color w:val="000000"/>
                <w:sz w:val="16"/>
                <w:szCs w:val="16"/>
                <w:lang w:eastAsia="es-ES"/>
              </w:rPr>
              <w:t>Vivienda terminada</w:t>
            </w:r>
          </w:p>
        </w:tc>
        <w:tc>
          <w:tcPr>
            <w:tcW w:w="0" w:type="auto"/>
            <w:tcBorders>
              <w:top w:val="single" w:sz="2" w:space="0" w:color="70AD47" w:themeColor="accent6"/>
              <w:left w:val="nil"/>
              <w:bottom w:val="nil"/>
              <w:right w:val="nil"/>
            </w:tcBorders>
            <w:shd w:val="clear" w:color="auto" w:fill="auto"/>
            <w:noWrap/>
            <w:vAlign w:val="bottom"/>
            <w:hideMark/>
          </w:tcPr>
          <w:p w:rsidR="00A00554" w:rsidRPr="00013D1E" w:rsidRDefault="00A00554" w:rsidP="006252A9">
            <w:pPr>
              <w:spacing w:after="0" w:line="240" w:lineRule="auto"/>
              <w:rPr>
                <w:rFonts w:ascii="Calibri" w:eastAsia="Times New Roman" w:hAnsi="Calibri" w:cs="Calibri"/>
                <w:color w:val="000000"/>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A00554" w:rsidRPr="00013D1E" w:rsidRDefault="00A00554"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A00554" w:rsidRPr="00013D1E" w:rsidRDefault="00A00554"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A00554" w:rsidRPr="00013D1E" w:rsidRDefault="00A00554"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A00554" w:rsidRPr="00013D1E" w:rsidRDefault="00A00554"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A00554" w:rsidRPr="00013D1E" w:rsidRDefault="00A00554" w:rsidP="006252A9">
            <w:pPr>
              <w:spacing w:after="0" w:line="240" w:lineRule="auto"/>
              <w:rPr>
                <w:rFonts w:ascii="Times New Roman" w:eastAsia="Times New Roman" w:hAnsi="Times New Roman" w:cs="Times New Roman"/>
                <w:sz w:val="16"/>
                <w:szCs w:val="16"/>
                <w:lang w:eastAsia="es-ES"/>
              </w:rPr>
            </w:pPr>
          </w:p>
        </w:tc>
      </w:tr>
      <w:tr w:rsidR="00DD5221" w:rsidRPr="00013D1E" w:rsidTr="0068343E">
        <w:trPr>
          <w:trHeight w:val="300"/>
          <w:jc w:val="center"/>
        </w:trPr>
        <w:tc>
          <w:tcPr>
            <w:tcW w:w="0" w:type="auto"/>
            <w:gridSpan w:val="8"/>
            <w:tcBorders>
              <w:top w:val="nil"/>
              <w:left w:val="nil"/>
              <w:bottom w:val="nil"/>
              <w:right w:val="nil"/>
            </w:tcBorders>
            <w:shd w:val="clear" w:color="auto" w:fill="auto"/>
            <w:noWrap/>
            <w:vAlign w:val="bottom"/>
            <w:hideMark/>
          </w:tcPr>
          <w:p w:rsidR="00DD5221" w:rsidRPr="00013D1E" w:rsidRDefault="00DD5221" w:rsidP="00DD5221">
            <w:pPr>
              <w:spacing w:after="0" w:line="240" w:lineRule="auto"/>
              <w:jc w:val="both"/>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Número de calificaciones definitivas. Planes</w:t>
            </w:r>
            <w:r w:rsidR="00145A4A">
              <w:rPr>
                <w:rFonts w:ascii="Calibri" w:eastAsia="Times New Roman" w:hAnsi="Calibri" w:cs="Calibri"/>
                <w:color w:val="000000"/>
                <w:sz w:val="16"/>
                <w:szCs w:val="16"/>
                <w:lang w:eastAsia="es-ES"/>
              </w:rPr>
              <w:t xml:space="preserve"> estatales y planes autonómicos</w:t>
            </w:r>
            <w:r w:rsidRPr="00013D1E">
              <w:rPr>
                <w:rFonts w:ascii="Calibri" w:eastAsia="Times New Roman" w:hAnsi="Calibri" w:cs="Calibri"/>
                <w:color w:val="000000"/>
                <w:sz w:val="16"/>
                <w:szCs w:val="16"/>
                <w:lang w:eastAsia="es-ES"/>
              </w:rPr>
              <w:t xml:space="preserve"> </w:t>
            </w:r>
          </w:p>
        </w:tc>
        <w:tc>
          <w:tcPr>
            <w:tcW w:w="0" w:type="auto"/>
            <w:tcBorders>
              <w:top w:val="nil"/>
              <w:left w:val="nil"/>
              <w:bottom w:val="nil"/>
              <w:right w:val="nil"/>
            </w:tcBorders>
            <w:shd w:val="clear" w:color="auto" w:fill="auto"/>
            <w:noWrap/>
            <w:vAlign w:val="bottom"/>
            <w:hideMark/>
          </w:tcPr>
          <w:p w:rsidR="00DD5221" w:rsidRPr="00013D1E" w:rsidRDefault="00DD5221" w:rsidP="006252A9">
            <w:pPr>
              <w:spacing w:after="0" w:line="240" w:lineRule="auto"/>
              <w:rPr>
                <w:rFonts w:ascii="Calibri" w:eastAsia="Times New Roman" w:hAnsi="Calibri" w:cs="Calibri"/>
                <w:color w:val="000000"/>
                <w:sz w:val="16"/>
                <w:szCs w:val="16"/>
                <w:lang w:eastAsia="es-ES"/>
              </w:rPr>
            </w:pPr>
          </w:p>
        </w:tc>
      </w:tr>
      <w:tr w:rsidR="000E0D3D" w:rsidRPr="00013D1E" w:rsidTr="00192ED6">
        <w:trPr>
          <w:trHeight w:val="300"/>
          <w:jc w:val="center"/>
        </w:trPr>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rPr>
                <w:rFonts w:ascii="Times New Roman" w:eastAsia="Times New Roman" w:hAnsi="Times New Roman" w:cs="Times New Roman"/>
                <w:sz w:val="16"/>
                <w:szCs w:val="16"/>
                <w:lang w:eastAsia="es-ES"/>
              </w:rPr>
            </w:pPr>
          </w:p>
        </w:tc>
        <w:tc>
          <w:tcPr>
            <w:tcW w:w="0" w:type="auto"/>
            <w:gridSpan w:val="2"/>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center"/>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Promedio 2001-2010</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center"/>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Promedio 2011-2020</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center"/>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2021</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jc w:val="center"/>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2022</w:t>
            </w:r>
          </w:p>
        </w:tc>
      </w:tr>
      <w:tr w:rsidR="000E0D3D" w:rsidRPr="00013D1E" w:rsidTr="00192ED6">
        <w:trPr>
          <w:trHeight w:val="300"/>
          <w:jc w:val="center"/>
        </w:trPr>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center"/>
              <w:rPr>
                <w:rFonts w:ascii="Calibri" w:eastAsia="Times New Roman" w:hAnsi="Calibri" w:cs="Calibri"/>
                <w:color w:val="000000"/>
                <w:sz w:val="16"/>
                <w:szCs w:val="16"/>
                <w:lang w:eastAsia="es-ES"/>
              </w:rPr>
            </w:pP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Total</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Protegida</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Total</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Protegida</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Total</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Protegida</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Total</w:t>
            </w:r>
          </w:p>
        </w:tc>
        <w:tc>
          <w:tcPr>
            <w:tcW w:w="0" w:type="auto"/>
            <w:tcBorders>
              <w:top w:val="nil"/>
              <w:left w:val="nil"/>
              <w:bottom w:val="nil"/>
              <w:right w:val="nil"/>
            </w:tcBorders>
            <w:shd w:val="clear" w:color="auto" w:fill="E2EFD9" w:themeFill="accent6" w:themeFillTint="33"/>
            <w:noWrap/>
            <w:vAlign w:val="bottom"/>
            <w:hideMark/>
          </w:tcPr>
          <w:p w:rsidR="000E0D3D" w:rsidRPr="00192ED6" w:rsidRDefault="000E0D3D" w:rsidP="006252A9">
            <w:pPr>
              <w:spacing w:after="0" w:line="240" w:lineRule="auto"/>
              <w:rPr>
                <w:rFonts w:ascii="Calibri" w:eastAsia="Times New Roman" w:hAnsi="Calibri" w:cs="Calibri"/>
                <w:b/>
                <w:color w:val="000000"/>
                <w:sz w:val="16"/>
                <w:szCs w:val="16"/>
                <w:lang w:eastAsia="es-ES"/>
              </w:rPr>
            </w:pPr>
            <w:r w:rsidRPr="00192ED6">
              <w:rPr>
                <w:rFonts w:ascii="Calibri" w:eastAsia="Times New Roman" w:hAnsi="Calibri" w:cs="Calibri"/>
                <w:b/>
                <w:color w:val="000000"/>
                <w:sz w:val="16"/>
                <w:szCs w:val="16"/>
                <w:lang w:eastAsia="es-ES"/>
              </w:rPr>
              <w:t>Protegida</w:t>
            </w:r>
          </w:p>
        </w:tc>
      </w:tr>
      <w:tr w:rsidR="000E0D3D" w:rsidRPr="00013D1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 xml:space="preserve">Almería           </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12.326</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406</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770</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153</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815</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0</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1.024</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0</w:t>
            </w:r>
          </w:p>
        </w:tc>
      </w:tr>
      <w:tr w:rsidR="000E0D3D" w:rsidRPr="00013D1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 xml:space="preserve">Cádiz             </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13.787</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2.448</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1.451</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457</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1.762</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178</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1.634</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17</w:t>
            </w:r>
          </w:p>
        </w:tc>
      </w:tr>
      <w:tr w:rsidR="000E0D3D" w:rsidRPr="00013D1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 xml:space="preserve">Córdoba           </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5.698</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984</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1.158</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306</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811</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247</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986</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131</w:t>
            </w:r>
          </w:p>
        </w:tc>
      </w:tr>
      <w:tr w:rsidR="000E0D3D" w:rsidRPr="00013D1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 xml:space="preserve">Granada           </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9.492</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802</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1.228</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211</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1.520</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32</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1.471</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99</w:t>
            </w:r>
          </w:p>
        </w:tc>
      </w:tr>
      <w:tr w:rsidR="000E0D3D" w:rsidRPr="00013D1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 xml:space="preserve">Huelva            </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7.254</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651</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760</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161</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828</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298</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438</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69</w:t>
            </w:r>
          </w:p>
        </w:tc>
      </w:tr>
      <w:tr w:rsidR="000E0D3D" w:rsidRPr="00013D1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 xml:space="preserve">Jaén              </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5.268</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340</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1.122</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126</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601</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2</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819</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0</w:t>
            </w:r>
          </w:p>
        </w:tc>
      </w:tr>
      <w:tr w:rsidR="000E0D3D" w:rsidRPr="00013D1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 xml:space="preserve">Málaga            </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38.366</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1.189</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2.972</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224</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6.383</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224</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5.237</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154</w:t>
            </w:r>
          </w:p>
        </w:tc>
      </w:tr>
      <w:tr w:rsidR="000E0D3D" w:rsidRPr="00013D1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 xml:space="preserve">Sevilla           </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17.380</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3.313</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3.197</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1.031</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3.994</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89</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3.917</w:t>
            </w:r>
          </w:p>
        </w:tc>
        <w:tc>
          <w:tcPr>
            <w:tcW w:w="0" w:type="auto"/>
            <w:tcBorders>
              <w:top w:val="nil"/>
              <w:left w:val="nil"/>
              <w:bottom w:val="nil"/>
              <w:right w:val="nil"/>
            </w:tcBorders>
            <w:shd w:val="clear" w:color="auto" w:fill="auto"/>
            <w:noWrap/>
            <w:vAlign w:val="bottom"/>
            <w:hideMark/>
          </w:tcPr>
          <w:p w:rsidR="000E0D3D" w:rsidRPr="00013D1E" w:rsidRDefault="000E0D3D" w:rsidP="006252A9">
            <w:pPr>
              <w:spacing w:after="0" w:line="240" w:lineRule="auto"/>
              <w:jc w:val="right"/>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26</w:t>
            </w:r>
          </w:p>
        </w:tc>
      </w:tr>
      <w:tr w:rsidR="000E0D3D" w:rsidRPr="00013D1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0F7B19" w:rsidRDefault="000E0D3D" w:rsidP="006252A9">
            <w:pPr>
              <w:spacing w:after="0" w:line="240" w:lineRule="auto"/>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Andalucía</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109.571</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10.133</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12.658</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2.669</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16.714</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1.070</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15.526</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496</w:t>
            </w:r>
          </w:p>
        </w:tc>
      </w:tr>
      <w:tr w:rsidR="000E0D3D" w:rsidRPr="00013D1E" w:rsidTr="007F0F03">
        <w:trPr>
          <w:trHeight w:val="300"/>
          <w:jc w:val="center"/>
        </w:trPr>
        <w:tc>
          <w:tcPr>
            <w:tcW w:w="0" w:type="auto"/>
            <w:tcBorders>
              <w:top w:val="nil"/>
              <w:left w:val="nil"/>
              <w:right w:val="nil"/>
            </w:tcBorders>
            <w:shd w:val="clear" w:color="auto" w:fill="E2EFD9" w:themeFill="accent6" w:themeFillTint="33"/>
            <w:noWrap/>
            <w:vAlign w:val="bottom"/>
            <w:hideMark/>
          </w:tcPr>
          <w:p w:rsidR="000E0D3D" w:rsidRPr="000F7B19" w:rsidRDefault="000E0D3D" w:rsidP="006252A9">
            <w:pPr>
              <w:spacing w:after="0" w:line="240" w:lineRule="auto"/>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TOTAL NACIONAL</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532.452</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57.263</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80.222</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18.614</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94.728</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10.637</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89.545</w:t>
            </w:r>
          </w:p>
        </w:tc>
        <w:tc>
          <w:tcPr>
            <w:tcW w:w="0" w:type="auto"/>
            <w:tcBorders>
              <w:top w:val="nil"/>
              <w:left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9.610</w:t>
            </w:r>
          </w:p>
        </w:tc>
      </w:tr>
      <w:tr w:rsidR="000E0D3D" w:rsidRPr="00013D1E" w:rsidTr="002259B4">
        <w:trPr>
          <w:trHeight w:val="300"/>
          <w:jc w:val="center"/>
        </w:trPr>
        <w:tc>
          <w:tcPr>
            <w:tcW w:w="0" w:type="auto"/>
            <w:gridSpan w:val="4"/>
            <w:tcBorders>
              <w:top w:val="nil"/>
              <w:left w:val="nil"/>
              <w:bottom w:val="single" w:sz="2" w:space="0" w:color="70AD47" w:themeColor="accent6"/>
              <w:right w:val="nil"/>
            </w:tcBorders>
            <w:shd w:val="clear" w:color="auto" w:fill="auto"/>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r w:rsidRPr="00013D1E">
              <w:rPr>
                <w:rFonts w:ascii="Calibri" w:eastAsia="Times New Roman" w:hAnsi="Calibri" w:cs="Calibri"/>
                <w:color w:val="000000"/>
                <w:sz w:val="16"/>
                <w:szCs w:val="16"/>
                <w:lang w:eastAsia="es-ES"/>
              </w:rPr>
              <w:t>Fuente: Ministerio de vivienda y Agenda Urbana.</w:t>
            </w:r>
          </w:p>
        </w:tc>
        <w:tc>
          <w:tcPr>
            <w:tcW w:w="0" w:type="auto"/>
            <w:tcBorders>
              <w:top w:val="nil"/>
              <w:left w:val="nil"/>
              <w:bottom w:val="single" w:sz="2" w:space="0" w:color="70AD47" w:themeColor="accent6"/>
              <w:right w:val="nil"/>
            </w:tcBorders>
            <w:shd w:val="clear" w:color="auto" w:fill="auto"/>
            <w:noWrap/>
            <w:vAlign w:val="bottom"/>
            <w:hideMark/>
          </w:tcPr>
          <w:p w:rsidR="000E0D3D" w:rsidRPr="00013D1E" w:rsidRDefault="000E0D3D" w:rsidP="006252A9">
            <w:pPr>
              <w:spacing w:after="0" w:line="240" w:lineRule="auto"/>
              <w:rPr>
                <w:rFonts w:ascii="Calibri" w:eastAsia="Times New Roman" w:hAnsi="Calibri" w:cs="Calibri"/>
                <w:color w:val="000000"/>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013D1E"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013D1E"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013D1E"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013D1E" w:rsidRDefault="000E0D3D" w:rsidP="006252A9">
            <w:pPr>
              <w:spacing w:after="0" w:line="240" w:lineRule="auto"/>
              <w:rPr>
                <w:rFonts w:ascii="Times New Roman" w:eastAsia="Times New Roman" w:hAnsi="Times New Roman" w:cs="Times New Roman"/>
                <w:sz w:val="16"/>
                <w:szCs w:val="16"/>
                <w:lang w:eastAsia="es-ES"/>
              </w:rPr>
            </w:pPr>
          </w:p>
        </w:tc>
      </w:tr>
    </w:tbl>
    <w:p w:rsidR="000E0D3D" w:rsidRDefault="000E0D3D" w:rsidP="000E0D3D">
      <w:pPr>
        <w:jc w:val="both"/>
      </w:pPr>
    </w:p>
    <w:p w:rsidR="000E0D3D" w:rsidRDefault="000E0D3D" w:rsidP="000E0D3D">
      <w:pPr>
        <w:jc w:val="both"/>
      </w:pPr>
      <w:r>
        <w:t xml:space="preserve">Si nos centramos en las </w:t>
      </w:r>
      <w:r w:rsidRPr="00D906A3">
        <w:rPr>
          <w:b/>
        </w:rPr>
        <w:t>viviendas protegidas</w:t>
      </w:r>
      <w:r>
        <w:t>, el descenso en estos años ha sido aún más acusado. De hecho, en Andalucía, se ha pasado de unas 10.100 viviendas terminadas protegidas en promedio entre 2001 y 2010 a 2.669 en el siguiente decenio. Desde 2021 se ha mantenido esta tendencia descendente. De hecho, en lo que va de 2023 se han registrado 1.619 viviendas protegidas terminadas, si bien esta cifra es inferior a la del mismo periodo de 2022 (1.742 viviendas).</w:t>
      </w:r>
    </w:p>
    <w:p w:rsidR="000E0D3D" w:rsidRDefault="000E0D3D" w:rsidP="000E0D3D">
      <w:pPr>
        <w:jc w:val="both"/>
      </w:pPr>
      <w:r>
        <w:t>Entre las provincias andaluzas, Málaga concentraba en 2022 el mayor número de estas viviendas (154) seguida de Córdoba (131), mientras que en Almería y Jaén no se han registrado ninguna vivienda protegida terminada.</w:t>
      </w:r>
    </w:p>
    <w:p w:rsidR="00CB1657" w:rsidRDefault="00CB1657" w:rsidP="000E0D3D">
      <w:pPr>
        <w:jc w:val="both"/>
      </w:pPr>
    </w:p>
    <w:p w:rsidR="00CB1657" w:rsidRDefault="00CB1657" w:rsidP="000E0D3D">
      <w:pPr>
        <w:jc w:val="both"/>
      </w:pPr>
      <w:r w:rsidRPr="00CB1657">
        <w:rPr>
          <w:noProof/>
          <w:lang w:eastAsia="es-ES"/>
        </w:rPr>
        <w:drawing>
          <wp:inline distT="0" distB="0" distL="0" distR="0">
            <wp:extent cx="5400040" cy="3038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038120"/>
                    </a:xfrm>
                    <a:prstGeom prst="rect">
                      <a:avLst/>
                    </a:prstGeom>
                    <a:noFill/>
                    <a:ln>
                      <a:noFill/>
                    </a:ln>
                  </pic:spPr>
                </pic:pic>
              </a:graphicData>
            </a:graphic>
          </wp:inline>
        </w:drawing>
      </w:r>
    </w:p>
    <w:p w:rsidR="00CB1657" w:rsidRDefault="00CB1657" w:rsidP="000E0D3D">
      <w:pPr>
        <w:jc w:val="both"/>
      </w:pPr>
    </w:p>
    <w:p w:rsidR="000E0D3D" w:rsidRDefault="000E0D3D" w:rsidP="000E0D3D">
      <w:pPr>
        <w:jc w:val="both"/>
      </w:pPr>
      <w:r>
        <w:t xml:space="preserve">A nivel nacional, los datos disponibles de 2023 revelan pesos de la vivienda protegida terminada sobre la total que oscilan entre el 5,9% de Castilla y León y el 48,3% de País Vasco. Andalucía representa el 12,2% de este total, algo inferior al peso estimado en el agregado nacional (12,5%). En términos de población, Navarra adquiere el mayor protagonismo, con una ratio de 0,88 viviendas por cada 1.000 habitante, mientras que Andalucía se sitúa por encima del cociente nacional (0,19 y 0,17 viviendas por cada 1.000 habitantes, respectivamente). </w:t>
      </w:r>
    </w:p>
    <w:p w:rsidR="00DF4883" w:rsidRDefault="00DF4883"/>
    <w:p w:rsidR="009C397F" w:rsidRDefault="009C397F">
      <w:pPr>
        <w:rPr>
          <w:b/>
        </w:rPr>
      </w:pPr>
      <w:r w:rsidRPr="00947BD3">
        <w:rPr>
          <w:b/>
        </w:rPr>
        <w:t>I.1.</w:t>
      </w:r>
      <w:r w:rsidR="00947BD3" w:rsidRPr="00947BD3">
        <w:rPr>
          <w:b/>
        </w:rPr>
        <w:t>2. Mercado de la vivienda: precios y transacciones</w:t>
      </w:r>
    </w:p>
    <w:p w:rsidR="000E0D3D" w:rsidRDefault="000E0D3D" w:rsidP="000E0D3D">
      <w:pPr>
        <w:jc w:val="both"/>
      </w:pPr>
      <w:r>
        <w:t>Desde la perspectiva de la demanda, en 2022 se materializaron en Andalucía 142.132 transacciones de viviendas, en torno a una quinta parte del total nacional. Esta cuantía supone un aumento en torno al 6% respecto al año anterior. Asimismo supera el dato promedio del periodo comprendido entre 2004 y 2010 en casi 9.000 transacciones y en casi 60.000 las transacciones en el promedio 2011-2020. Esto discrepa con el comportamiento en el conjunto nacional, donde el dato de 2022 (717.734 transacciones) supera el del promedio 2011-2020 si bien es inferior al del anterior decenio.</w:t>
      </w:r>
    </w:p>
    <w:p w:rsidR="000E0D3D" w:rsidRDefault="000E0D3D" w:rsidP="000E0D3D">
      <w:pPr>
        <w:jc w:val="both"/>
      </w:pPr>
      <w:r>
        <w:t xml:space="preserve">Por su parte, en los nueves primeros meses de 2023, las transacciones acumuladas ascendieron a 28.329 viviendas, lo que denota un descenso del 15,9% con respecto al mismo periodo del ejercicio anterior, similar tasa a la registrada en España, todo esto en un contexto de </w:t>
      </w:r>
      <w:r w:rsidRPr="0081166F">
        <w:t>subida de tipos</w:t>
      </w:r>
      <w:r>
        <w:t>.</w:t>
      </w:r>
    </w:p>
    <w:p w:rsidR="000E0D3D" w:rsidRDefault="000E0D3D" w:rsidP="000E0D3D">
      <w:pPr>
        <w:jc w:val="both"/>
      </w:pPr>
      <w:r>
        <w:t xml:space="preserve">Por regímenes, las transacciones de viviendas protegidas tenían en 2022 un peso en torno al 4% sobre el total de transacciones en Andalucía, peso algo superior al registrado en España (3,4%) y 4,6 puntos porcentuales inferior al peso medio del periodo 2004-2010 y 3 puntos inferior al del promedio 2011-2020. </w:t>
      </w:r>
    </w:p>
    <w:tbl>
      <w:tblPr>
        <w:tblW w:w="0" w:type="auto"/>
        <w:jc w:val="center"/>
        <w:tblCellMar>
          <w:left w:w="70" w:type="dxa"/>
          <w:right w:w="70" w:type="dxa"/>
        </w:tblCellMar>
        <w:tblLook w:val="04A0" w:firstRow="1" w:lastRow="0" w:firstColumn="1" w:lastColumn="0" w:noHBand="0" w:noVBand="1"/>
      </w:tblPr>
      <w:tblGrid>
        <w:gridCol w:w="1670"/>
        <w:gridCol w:w="884"/>
        <w:gridCol w:w="738"/>
        <w:gridCol w:w="799"/>
        <w:gridCol w:w="667"/>
        <w:gridCol w:w="866"/>
        <w:gridCol w:w="663"/>
      </w:tblGrid>
      <w:tr w:rsidR="000E0D3D" w:rsidRPr="00907C9E" w:rsidTr="002259B4">
        <w:trPr>
          <w:trHeight w:val="300"/>
          <w:jc w:val="center"/>
        </w:trPr>
        <w:tc>
          <w:tcPr>
            <w:tcW w:w="0" w:type="auto"/>
            <w:gridSpan w:val="2"/>
            <w:tcBorders>
              <w:top w:val="single" w:sz="2" w:space="0" w:color="70AD47" w:themeColor="accent6"/>
              <w:left w:val="nil"/>
              <w:bottom w:val="nil"/>
              <w:right w:val="nil"/>
            </w:tcBorders>
            <w:shd w:val="clear" w:color="auto" w:fill="auto"/>
            <w:noWrap/>
            <w:vAlign w:val="bottom"/>
            <w:hideMark/>
          </w:tcPr>
          <w:p w:rsidR="000E0D3D" w:rsidRPr="00907C9E" w:rsidRDefault="000E0D3D" w:rsidP="006252A9">
            <w:pPr>
              <w:spacing w:after="0" w:line="240" w:lineRule="auto"/>
              <w:rPr>
                <w:rFonts w:ascii="Calibri" w:eastAsia="Times New Roman" w:hAnsi="Calibri" w:cs="Calibri"/>
                <w:b/>
                <w:bCs/>
                <w:color w:val="000000"/>
                <w:sz w:val="16"/>
                <w:szCs w:val="16"/>
                <w:lang w:eastAsia="es-ES"/>
              </w:rPr>
            </w:pPr>
            <w:r w:rsidRPr="00907C9E">
              <w:rPr>
                <w:rFonts w:ascii="Calibri" w:eastAsia="Times New Roman" w:hAnsi="Calibri" w:cs="Calibri"/>
                <w:b/>
                <w:bCs/>
                <w:color w:val="000000"/>
                <w:sz w:val="16"/>
                <w:szCs w:val="16"/>
                <w:lang w:eastAsia="es-ES"/>
              </w:rPr>
              <w:t>Transacciones inmobiliarias</w:t>
            </w:r>
          </w:p>
        </w:tc>
        <w:tc>
          <w:tcPr>
            <w:tcW w:w="0" w:type="auto"/>
            <w:tcBorders>
              <w:top w:val="single" w:sz="2" w:space="0" w:color="70AD47" w:themeColor="accent6"/>
              <w:left w:val="nil"/>
              <w:bottom w:val="nil"/>
              <w:right w:val="nil"/>
            </w:tcBorders>
            <w:shd w:val="clear" w:color="auto" w:fill="auto"/>
            <w:noWrap/>
            <w:vAlign w:val="bottom"/>
            <w:hideMark/>
          </w:tcPr>
          <w:p w:rsidR="000E0D3D" w:rsidRPr="00907C9E" w:rsidRDefault="000E0D3D" w:rsidP="006252A9">
            <w:pPr>
              <w:spacing w:after="0" w:line="240" w:lineRule="auto"/>
              <w:rPr>
                <w:rFonts w:ascii="Calibri" w:eastAsia="Times New Roman" w:hAnsi="Calibri" w:cs="Calibri"/>
                <w:b/>
                <w:bCs/>
                <w:color w:val="000000"/>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0E0D3D" w:rsidRPr="00907C9E"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0E0D3D" w:rsidRPr="00907C9E"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0E0D3D" w:rsidRPr="00907C9E"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0E0D3D" w:rsidRPr="00907C9E" w:rsidRDefault="000E0D3D" w:rsidP="006252A9">
            <w:pPr>
              <w:spacing w:after="0" w:line="240" w:lineRule="auto"/>
              <w:rPr>
                <w:rFonts w:ascii="Times New Roman" w:eastAsia="Times New Roman" w:hAnsi="Times New Roman" w:cs="Times New Roman"/>
                <w:sz w:val="16"/>
                <w:szCs w:val="16"/>
                <w:lang w:eastAsia="es-ES"/>
              </w:rPr>
            </w:pPr>
          </w:p>
        </w:tc>
      </w:tr>
      <w:tr w:rsidR="000E0D3D" w:rsidRPr="00907C9E" w:rsidTr="00717B0B">
        <w:trPr>
          <w:trHeight w:val="300"/>
          <w:jc w:val="center"/>
        </w:trPr>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rPr>
                <w:rFonts w:ascii="Times New Roman" w:eastAsia="Times New Roman" w:hAnsi="Times New Roman" w:cs="Times New Roman"/>
                <w:sz w:val="16"/>
                <w:szCs w:val="16"/>
                <w:lang w:eastAsia="es-ES"/>
              </w:rPr>
            </w:pPr>
          </w:p>
        </w:tc>
        <w:tc>
          <w:tcPr>
            <w:tcW w:w="0" w:type="auto"/>
            <w:gridSpan w:val="2"/>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jc w:val="center"/>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 xml:space="preserve">Totales </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jc w:val="center"/>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Viviendas libres</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jc w:val="center"/>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Viviendas protegidas</w:t>
            </w:r>
          </w:p>
        </w:tc>
      </w:tr>
      <w:tr w:rsidR="000E0D3D" w:rsidRPr="00907C9E" w:rsidTr="00717B0B">
        <w:trPr>
          <w:trHeight w:val="300"/>
          <w:jc w:val="center"/>
        </w:trPr>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center"/>
              <w:rPr>
                <w:rFonts w:ascii="Calibri" w:eastAsia="Times New Roman" w:hAnsi="Calibri" w:cs="Calibri"/>
                <w:color w:val="000000"/>
                <w:sz w:val="16"/>
                <w:szCs w:val="16"/>
                <w:lang w:eastAsia="es-ES"/>
              </w:rPr>
            </w:pP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346E13" w:rsidP="006252A9">
            <w:pPr>
              <w:spacing w:after="0" w:line="240" w:lineRule="auto"/>
              <w:rPr>
                <w:rFonts w:ascii="Calibri" w:eastAsia="Times New Roman" w:hAnsi="Calibri" w:cs="Calibri"/>
                <w:b/>
                <w:color w:val="000000"/>
                <w:sz w:val="16"/>
                <w:szCs w:val="16"/>
                <w:lang w:eastAsia="es-ES"/>
              </w:rPr>
            </w:pPr>
            <w:r>
              <w:rPr>
                <w:rFonts w:ascii="Calibri" w:eastAsia="Times New Roman" w:hAnsi="Calibri" w:cs="Calibri"/>
                <w:b/>
                <w:color w:val="000000"/>
                <w:sz w:val="16"/>
                <w:szCs w:val="16"/>
                <w:lang w:eastAsia="es-ES"/>
              </w:rPr>
              <w:t>Andalucí</w:t>
            </w:r>
            <w:r w:rsidR="000E0D3D" w:rsidRPr="00717B0B">
              <w:rPr>
                <w:rFonts w:ascii="Calibri" w:eastAsia="Times New Roman" w:hAnsi="Calibri" w:cs="Calibri"/>
                <w:b/>
                <w:color w:val="000000"/>
                <w:sz w:val="16"/>
                <w:szCs w:val="16"/>
                <w:lang w:eastAsia="es-ES"/>
              </w:rPr>
              <w:t>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España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346E13" w:rsidP="006252A9">
            <w:pPr>
              <w:spacing w:after="0" w:line="240" w:lineRule="auto"/>
              <w:rPr>
                <w:rFonts w:ascii="Calibri" w:eastAsia="Times New Roman" w:hAnsi="Calibri" w:cs="Calibri"/>
                <w:b/>
                <w:color w:val="000000"/>
                <w:sz w:val="16"/>
                <w:szCs w:val="16"/>
                <w:lang w:eastAsia="es-ES"/>
              </w:rPr>
            </w:pPr>
            <w:r>
              <w:rPr>
                <w:rFonts w:ascii="Calibri" w:eastAsia="Times New Roman" w:hAnsi="Calibri" w:cs="Calibri"/>
                <w:b/>
                <w:color w:val="000000"/>
                <w:sz w:val="16"/>
                <w:szCs w:val="16"/>
                <w:lang w:eastAsia="es-ES"/>
              </w:rPr>
              <w:t>Andalucí</w:t>
            </w:r>
            <w:r w:rsidR="000E0D3D" w:rsidRPr="00717B0B">
              <w:rPr>
                <w:rFonts w:ascii="Calibri" w:eastAsia="Times New Roman" w:hAnsi="Calibri" w:cs="Calibri"/>
                <w:b/>
                <w:color w:val="000000"/>
                <w:sz w:val="16"/>
                <w:szCs w:val="16"/>
                <w:lang w:eastAsia="es-ES"/>
              </w:rPr>
              <w:t>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España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346E13" w:rsidP="006252A9">
            <w:pPr>
              <w:spacing w:after="0" w:line="240" w:lineRule="auto"/>
              <w:rPr>
                <w:rFonts w:ascii="Calibri" w:eastAsia="Times New Roman" w:hAnsi="Calibri" w:cs="Calibri"/>
                <w:b/>
                <w:color w:val="000000"/>
                <w:sz w:val="16"/>
                <w:szCs w:val="16"/>
                <w:lang w:eastAsia="es-ES"/>
              </w:rPr>
            </w:pPr>
            <w:r>
              <w:rPr>
                <w:rFonts w:ascii="Calibri" w:eastAsia="Times New Roman" w:hAnsi="Calibri" w:cs="Calibri"/>
                <w:b/>
                <w:color w:val="000000"/>
                <w:sz w:val="16"/>
                <w:szCs w:val="16"/>
                <w:lang w:eastAsia="es-ES"/>
              </w:rPr>
              <w:t>Andalucí</w:t>
            </w:r>
            <w:r w:rsidR="000E0D3D" w:rsidRPr="00717B0B">
              <w:rPr>
                <w:rFonts w:ascii="Calibri" w:eastAsia="Times New Roman" w:hAnsi="Calibri" w:cs="Calibri"/>
                <w:b/>
                <w:color w:val="000000"/>
                <w:sz w:val="16"/>
                <w:szCs w:val="16"/>
                <w:lang w:eastAsia="es-ES"/>
              </w:rPr>
              <w:t>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España</w:t>
            </w:r>
          </w:p>
        </w:tc>
      </w:tr>
      <w:tr w:rsidR="000E0D3D" w:rsidRPr="00907C9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907C9E" w:rsidRDefault="000E0D3D" w:rsidP="006252A9">
            <w:pPr>
              <w:spacing w:after="0" w:line="240" w:lineRule="auto"/>
              <w:rPr>
                <w:rFonts w:ascii="Calibri" w:eastAsia="Times New Roman" w:hAnsi="Calibri" w:cs="Calibri"/>
                <w:color w:val="000000"/>
                <w:sz w:val="16"/>
                <w:szCs w:val="16"/>
                <w:lang w:eastAsia="es-ES"/>
              </w:rPr>
            </w:pPr>
            <w:r w:rsidRPr="00907C9E">
              <w:rPr>
                <w:rFonts w:ascii="Calibri" w:eastAsia="Times New Roman" w:hAnsi="Calibri" w:cs="Calibri"/>
                <w:color w:val="000000"/>
                <w:sz w:val="16"/>
                <w:szCs w:val="16"/>
                <w:lang w:eastAsia="es-ES"/>
              </w:rPr>
              <w:t>Promedio 2004-2010</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133.352</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723.070</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122.322</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671.662</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11.260</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52.159</w:t>
            </w:r>
          </w:p>
        </w:tc>
      </w:tr>
      <w:tr w:rsidR="000E0D3D" w:rsidRPr="00907C9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907C9E" w:rsidRDefault="000E0D3D" w:rsidP="006252A9">
            <w:pPr>
              <w:spacing w:after="0" w:line="240" w:lineRule="auto"/>
              <w:rPr>
                <w:rFonts w:ascii="Calibri" w:eastAsia="Times New Roman" w:hAnsi="Calibri" w:cs="Calibri"/>
                <w:color w:val="000000"/>
                <w:sz w:val="16"/>
                <w:szCs w:val="16"/>
                <w:lang w:eastAsia="es-ES"/>
              </w:rPr>
            </w:pPr>
            <w:r w:rsidRPr="00907C9E">
              <w:rPr>
                <w:rFonts w:ascii="Calibri" w:eastAsia="Times New Roman" w:hAnsi="Calibri" w:cs="Calibri"/>
                <w:color w:val="000000"/>
                <w:sz w:val="16"/>
                <w:szCs w:val="16"/>
                <w:lang w:eastAsia="es-ES"/>
              </w:rPr>
              <w:t>Promedio 2011-2020</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83.709</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441.088</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78.412</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417.173</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5.795</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26.653</w:t>
            </w:r>
          </w:p>
        </w:tc>
      </w:tr>
      <w:tr w:rsidR="000E0D3D" w:rsidRPr="00907C9E" w:rsidTr="007F0F03">
        <w:trPr>
          <w:trHeight w:val="300"/>
          <w:jc w:val="center"/>
        </w:trPr>
        <w:tc>
          <w:tcPr>
            <w:tcW w:w="0" w:type="auto"/>
            <w:tcBorders>
              <w:top w:val="nil"/>
              <w:left w:val="nil"/>
              <w:bottom w:val="nil"/>
              <w:right w:val="nil"/>
            </w:tcBorders>
            <w:shd w:val="clear" w:color="auto" w:fill="E2EFD9" w:themeFill="accent6" w:themeFillTint="33"/>
            <w:noWrap/>
            <w:vAlign w:val="bottom"/>
            <w:hideMark/>
          </w:tcPr>
          <w:p w:rsidR="000E0D3D" w:rsidRPr="00907C9E" w:rsidRDefault="000E0D3D" w:rsidP="006252A9">
            <w:pPr>
              <w:spacing w:after="0" w:line="240" w:lineRule="auto"/>
              <w:jc w:val="right"/>
              <w:rPr>
                <w:rFonts w:ascii="Calibri" w:eastAsia="Times New Roman" w:hAnsi="Calibri" w:cs="Calibri"/>
                <w:color w:val="000000"/>
                <w:sz w:val="16"/>
                <w:szCs w:val="16"/>
                <w:lang w:eastAsia="es-ES"/>
              </w:rPr>
            </w:pPr>
            <w:r w:rsidRPr="00907C9E">
              <w:rPr>
                <w:rFonts w:ascii="Calibri" w:eastAsia="Times New Roman" w:hAnsi="Calibri" w:cs="Calibri"/>
                <w:color w:val="000000"/>
                <w:sz w:val="16"/>
                <w:szCs w:val="16"/>
                <w:lang w:eastAsia="es-ES"/>
              </w:rPr>
              <w:t>2021</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134.257</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674.249</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128.921</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650.913</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5.336</w:t>
            </w:r>
          </w:p>
        </w:tc>
        <w:tc>
          <w:tcPr>
            <w:tcW w:w="0" w:type="auto"/>
            <w:tcBorders>
              <w:top w:val="nil"/>
              <w:left w:val="nil"/>
              <w:bottom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23.336</w:t>
            </w:r>
          </w:p>
        </w:tc>
      </w:tr>
      <w:tr w:rsidR="000E0D3D" w:rsidRPr="00907C9E" w:rsidTr="007F0F03">
        <w:trPr>
          <w:trHeight w:val="300"/>
          <w:jc w:val="center"/>
        </w:trPr>
        <w:tc>
          <w:tcPr>
            <w:tcW w:w="0" w:type="auto"/>
            <w:tcBorders>
              <w:top w:val="nil"/>
              <w:left w:val="nil"/>
              <w:right w:val="nil"/>
            </w:tcBorders>
            <w:shd w:val="clear" w:color="auto" w:fill="E2EFD9" w:themeFill="accent6" w:themeFillTint="33"/>
            <w:noWrap/>
            <w:vAlign w:val="bottom"/>
            <w:hideMark/>
          </w:tcPr>
          <w:p w:rsidR="000E0D3D" w:rsidRPr="00907C9E" w:rsidRDefault="000E0D3D" w:rsidP="006252A9">
            <w:pPr>
              <w:spacing w:after="0" w:line="240" w:lineRule="auto"/>
              <w:jc w:val="right"/>
              <w:rPr>
                <w:rFonts w:ascii="Calibri" w:eastAsia="Times New Roman" w:hAnsi="Calibri" w:cs="Calibri"/>
                <w:color w:val="000000"/>
                <w:sz w:val="16"/>
                <w:szCs w:val="16"/>
                <w:lang w:eastAsia="es-ES"/>
              </w:rPr>
            </w:pPr>
            <w:r w:rsidRPr="00907C9E">
              <w:rPr>
                <w:rFonts w:ascii="Calibri" w:eastAsia="Times New Roman" w:hAnsi="Calibri" w:cs="Calibri"/>
                <w:color w:val="000000"/>
                <w:sz w:val="16"/>
                <w:szCs w:val="16"/>
                <w:lang w:eastAsia="es-ES"/>
              </w:rPr>
              <w:t>2022</w:t>
            </w:r>
          </w:p>
        </w:tc>
        <w:tc>
          <w:tcPr>
            <w:tcW w:w="0" w:type="auto"/>
            <w:tcBorders>
              <w:top w:val="nil"/>
              <w:left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142.132</w:t>
            </w:r>
          </w:p>
        </w:tc>
        <w:tc>
          <w:tcPr>
            <w:tcW w:w="0" w:type="auto"/>
            <w:tcBorders>
              <w:top w:val="nil"/>
              <w:left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717.734</w:t>
            </w:r>
          </w:p>
        </w:tc>
        <w:tc>
          <w:tcPr>
            <w:tcW w:w="0" w:type="auto"/>
            <w:tcBorders>
              <w:top w:val="nil"/>
              <w:left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136.602</w:t>
            </w:r>
          </w:p>
        </w:tc>
        <w:tc>
          <w:tcPr>
            <w:tcW w:w="0" w:type="auto"/>
            <w:tcBorders>
              <w:top w:val="nil"/>
              <w:left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693.206</w:t>
            </w:r>
          </w:p>
        </w:tc>
        <w:tc>
          <w:tcPr>
            <w:tcW w:w="0" w:type="auto"/>
            <w:tcBorders>
              <w:top w:val="nil"/>
              <w:left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5.530</w:t>
            </w:r>
          </w:p>
        </w:tc>
        <w:tc>
          <w:tcPr>
            <w:tcW w:w="0" w:type="auto"/>
            <w:tcBorders>
              <w:top w:val="nil"/>
              <w:left w:val="nil"/>
              <w:right w:val="nil"/>
            </w:tcBorders>
            <w:shd w:val="clear" w:color="auto" w:fill="auto"/>
            <w:noWrap/>
            <w:vAlign w:val="bottom"/>
            <w:hideMark/>
          </w:tcPr>
          <w:p w:rsidR="000E0D3D" w:rsidRPr="00907C9E" w:rsidRDefault="000E0D3D" w:rsidP="006252A9">
            <w:pPr>
              <w:spacing w:after="0" w:line="240" w:lineRule="auto"/>
              <w:jc w:val="right"/>
              <w:rPr>
                <w:rFonts w:ascii="Calibri" w:eastAsia="Times New Roman" w:hAnsi="Calibri" w:cs="Calibri"/>
                <w:sz w:val="16"/>
                <w:szCs w:val="16"/>
                <w:lang w:eastAsia="es-ES"/>
              </w:rPr>
            </w:pPr>
            <w:r w:rsidRPr="00907C9E">
              <w:rPr>
                <w:rFonts w:ascii="Calibri" w:eastAsia="Times New Roman" w:hAnsi="Calibri" w:cs="Calibri"/>
                <w:sz w:val="16"/>
                <w:szCs w:val="16"/>
                <w:lang w:eastAsia="es-ES"/>
              </w:rPr>
              <w:t>24.528</w:t>
            </w:r>
          </w:p>
        </w:tc>
      </w:tr>
      <w:tr w:rsidR="000E0D3D" w:rsidRPr="00907C9E" w:rsidTr="002259B4">
        <w:trPr>
          <w:trHeight w:val="300"/>
          <w:jc w:val="center"/>
        </w:trPr>
        <w:tc>
          <w:tcPr>
            <w:tcW w:w="0" w:type="auto"/>
            <w:gridSpan w:val="3"/>
            <w:tcBorders>
              <w:top w:val="nil"/>
              <w:left w:val="nil"/>
              <w:bottom w:val="single" w:sz="2" w:space="0" w:color="70AD47" w:themeColor="accent6"/>
              <w:right w:val="nil"/>
            </w:tcBorders>
            <w:shd w:val="clear" w:color="auto" w:fill="auto"/>
            <w:noWrap/>
            <w:vAlign w:val="bottom"/>
            <w:hideMark/>
          </w:tcPr>
          <w:p w:rsidR="000E0D3D" w:rsidRPr="00907C9E" w:rsidRDefault="000E0D3D" w:rsidP="006252A9">
            <w:pPr>
              <w:spacing w:after="0" w:line="240" w:lineRule="auto"/>
              <w:rPr>
                <w:rFonts w:ascii="Calibri" w:eastAsia="Times New Roman" w:hAnsi="Calibri" w:cs="Calibri"/>
                <w:color w:val="000000"/>
                <w:sz w:val="16"/>
                <w:szCs w:val="16"/>
                <w:lang w:eastAsia="es-ES"/>
              </w:rPr>
            </w:pPr>
            <w:r w:rsidRPr="00907C9E">
              <w:rPr>
                <w:rFonts w:ascii="Calibri" w:eastAsia="Times New Roman" w:hAnsi="Calibri" w:cs="Calibri"/>
                <w:color w:val="000000"/>
                <w:sz w:val="16"/>
                <w:szCs w:val="16"/>
                <w:lang w:eastAsia="es-ES"/>
              </w:rPr>
              <w:t>Fuente: Ministerio de Vivienda y Agenda Urbana</w:t>
            </w:r>
          </w:p>
        </w:tc>
        <w:tc>
          <w:tcPr>
            <w:tcW w:w="0" w:type="auto"/>
            <w:tcBorders>
              <w:top w:val="nil"/>
              <w:left w:val="nil"/>
              <w:bottom w:val="single" w:sz="2" w:space="0" w:color="70AD47" w:themeColor="accent6"/>
              <w:right w:val="nil"/>
            </w:tcBorders>
            <w:shd w:val="clear" w:color="auto" w:fill="auto"/>
            <w:noWrap/>
            <w:vAlign w:val="bottom"/>
            <w:hideMark/>
          </w:tcPr>
          <w:p w:rsidR="000E0D3D" w:rsidRPr="00907C9E" w:rsidRDefault="000E0D3D" w:rsidP="006252A9">
            <w:pPr>
              <w:spacing w:after="0" w:line="240" w:lineRule="auto"/>
              <w:rPr>
                <w:rFonts w:ascii="Calibri" w:eastAsia="Times New Roman" w:hAnsi="Calibri" w:cs="Calibri"/>
                <w:color w:val="000000"/>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907C9E"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907C9E"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907C9E" w:rsidRDefault="000E0D3D" w:rsidP="006252A9">
            <w:pPr>
              <w:spacing w:after="0" w:line="240" w:lineRule="auto"/>
              <w:rPr>
                <w:rFonts w:ascii="Times New Roman" w:eastAsia="Times New Roman" w:hAnsi="Times New Roman" w:cs="Times New Roman"/>
                <w:sz w:val="16"/>
                <w:szCs w:val="16"/>
                <w:lang w:eastAsia="es-ES"/>
              </w:rPr>
            </w:pPr>
          </w:p>
        </w:tc>
      </w:tr>
    </w:tbl>
    <w:p w:rsidR="000E0D3D" w:rsidRDefault="000E0D3D" w:rsidP="000E0D3D">
      <w:pPr>
        <w:jc w:val="both"/>
      </w:pPr>
    </w:p>
    <w:p w:rsidR="000E0D3D" w:rsidRDefault="000E0D3D" w:rsidP="000E0D3D">
      <w:pPr>
        <w:jc w:val="both"/>
      </w:pPr>
    </w:p>
    <w:p w:rsidR="000E0D3D" w:rsidRDefault="00A83E03" w:rsidP="000E0D3D">
      <w:pPr>
        <w:jc w:val="both"/>
      </w:pPr>
      <w:r w:rsidRPr="00A83E03">
        <w:rPr>
          <w:noProof/>
          <w:lang w:eastAsia="es-ES"/>
        </w:rPr>
        <w:lastRenderedPageBreak/>
        <w:drawing>
          <wp:inline distT="0" distB="0" distL="0" distR="0">
            <wp:extent cx="5400040" cy="303029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030291"/>
                    </a:xfrm>
                    <a:prstGeom prst="rect">
                      <a:avLst/>
                    </a:prstGeom>
                    <a:noFill/>
                    <a:ln>
                      <a:noFill/>
                    </a:ln>
                  </pic:spPr>
                </pic:pic>
              </a:graphicData>
            </a:graphic>
          </wp:inline>
        </w:drawing>
      </w:r>
      <w:r w:rsidR="000E0D3D">
        <w:t xml:space="preserve"> </w:t>
      </w:r>
    </w:p>
    <w:p w:rsidR="000E0D3D" w:rsidRDefault="000E0D3D" w:rsidP="000E0D3D">
      <w:pPr>
        <w:jc w:val="both"/>
      </w:pPr>
      <w:r>
        <w:t xml:space="preserve">Entre las comunidades autónomas, la Comunidad Valenciana se coloca en primer lugar si relativizamos el número de transacciones respecto a la población, con unas 10 transacciones por cada 10.000 habitantes, seguida de Extremadura (7,0), Asturias (6,6) y Andalucía (6,4), superándose en La Rioja y País Vasco, igualmente, las 6 transacciones por cada 10.000 habitantes. </w:t>
      </w:r>
    </w:p>
    <w:p w:rsidR="000E0D3D" w:rsidRDefault="000F7B19" w:rsidP="000E0D3D">
      <w:pPr>
        <w:jc w:val="both"/>
      </w:pPr>
      <w:r>
        <w:t>Por otro lado, e</w:t>
      </w:r>
      <w:r w:rsidR="000E0D3D">
        <w:t xml:space="preserve">l precio medio de la </w:t>
      </w:r>
      <w:r w:rsidR="000E0D3D" w:rsidRPr="00776B5B">
        <w:rPr>
          <w:b/>
        </w:rPr>
        <w:t>vivienda libre total</w:t>
      </w:r>
      <w:r w:rsidR="000E0D3D">
        <w:t xml:space="preserve"> en Andalucía alcanzaba en el tercer trimestre de 2023 los 1.500 euros/m</w:t>
      </w:r>
      <w:r w:rsidR="000E0D3D" w:rsidRPr="007B0B2A">
        <w:rPr>
          <w:vertAlign w:val="superscript"/>
        </w:rPr>
        <w:t>2</w:t>
      </w:r>
      <w:r w:rsidR="000E0D3D">
        <w:t>, unos 300 euros menos respecto al precio estimado en el agregado nacional, donde se superan los 1.800 euros/m</w:t>
      </w:r>
      <w:r w:rsidR="000E0D3D" w:rsidRPr="007B0B2A">
        <w:rPr>
          <w:vertAlign w:val="superscript"/>
        </w:rPr>
        <w:t>2</w:t>
      </w:r>
      <w:r w:rsidR="000E0D3D">
        <w:t>. Estos precios han aumentado en los últimos años, si bien son inferiores a los estimados en 2007 (1.739,7 y 2.056,4 euros/m</w:t>
      </w:r>
      <w:r w:rsidR="000E0D3D" w:rsidRPr="007B0B2A">
        <w:rPr>
          <w:vertAlign w:val="superscript"/>
        </w:rPr>
        <w:t>2</w:t>
      </w:r>
      <w:r w:rsidR="000E0D3D">
        <w:t xml:space="preserve">, respectivamente). Entre el resto de comunidades, los últimos datos disponibles revelan que solo en Madrid, Baleares, País Vasco y Cataluña se ha superado el precio medio estimado en el promedio nacional. Respecto al mismo periodo de 2007, solo en Madrid y Baleares se registran mayores precios, en tanto que en el resto son menores pese al incremento experimentado en los últimos años. </w:t>
      </w:r>
    </w:p>
    <w:tbl>
      <w:tblPr>
        <w:tblW w:w="0" w:type="auto"/>
        <w:tblCellMar>
          <w:left w:w="70" w:type="dxa"/>
          <w:right w:w="70" w:type="dxa"/>
        </w:tblCellMar>
        <w:tblLook w:val="04A0" w:firstRow="1" w:lastRow="0" w:firstColumn="1" w:lastColumn="0" w:noHBand="0" w:noVBand="1"/>
      </w:tblPr>
      <w:tblGrid>
        <w:gridCol w:w="810"/>
        <w:gridCol w:w="1391"/>
        <w:gridCol w:w="1090"/>
        <w:gridCol w:w="842"/>
        <w:gridCol w:w="660"/>
        <w:gridCol w:w="834"/>
        <w:gridCol w:w="654"/>
        <w:gridCol w:w="799"/>
        <w:gridCol w:w="626"/>
      </w:tblGrid>
      <w:tr w:rsidR="00311BB2" w:rsidRPr="003B5757" w:rsidTr="00311BB2">
        <w:tc>
          <w:tcPr>
            <w:tcW w:w="0" w:type="auto"/>
            <w:gridSpan w:val="5"/>
            <w:tcBorders>
              <w:top w:val="single" w:sz="2" w:space="0" w:color="70AD47" w:themeColor="accent6"/>
              <w:left w:val="nil"/>
              <w:bottom w:val="nil"/>
              <w:right w:val="nil"/>
            </w:tcBorders>
            <w:shd w:val="clear" w:color="auto" w:fill="auto"/>
            <w:noWrap/>
            <w:vAlign w:val="bottom"/>
            <w:hideMark/>
          </w:tcPr>
          <w:p w:rsidR="00311BB2" w:rsidRPr="003B5757" w:rsidRDefault="00311BB2" w:rsidP="000F7B19">
            <w:pPr>
              <w:spacing w:after="0" w:line="240" w:lineRule="auto"/>
              <w:rPr>
                <w:rFonts w:ascii="Calibri" w:eastAsia="Times New Roman" w:hAnsi="Calibri" w:cs="Calibri"/>
                <w:b/>
                <w:bCs/>
                <w:color w:val="000000"/>
                <w:sz w:val="16"/>
                <w:szCs w:val="16"/>
                <w:lang w:eastAsia="es-ES"/>
              </w:rPr>
            </w:pPr>
            <w:r w:rsidRPr="003B5757">
              <w:rPr>
                <w:rFonts w:ascii="Calibri" w:eastAsia="Times New Roman" w:hAnsi="Calibri" w:cs="Calibri"/>
                <w:b/>
                <w:bCs/>
                <w:color w:val="000000"/>
                <w:sz w:val="16"/>
                <w:szCs w:val="16"/>
                <w:lang w:eastAsia="es-ES"/>
              </w:rPr>
              <w:t>V</w:t>
            </w:r>
            <w:r>
              <w:rPr>
                <w:rFonts w:ascii="Calibri" w:eastAsia="Times New Roman" w:hAnsi="Calibri" w:cs="Calibri"/>
                <w:b/>
                <w:bCs/>
                <w:color w:val="000000"/>
                <w:sz w:val="16"/>
                <w:szCs w:val="16"/>
                <w:lang w:eastAsia="es-ES"/>
              </w:rPr>
              <w:t>alor tasado medio de la vivienda</w:t>
            </w:r>
          </w:p>
        </w:tc>
        <w:tc>
          <w:tcPr>
            <w:tcW w:w="0" w:type="auto"/>
            <w:tcBorders>
              <w:top w:val="single" w:sz="2" w:space="0" w:color="70AD47" w:themeColor="accent6"/>
              <w:left w:val="nil"/>
              <w:bottom w:val="nil"/>
              <w:right w:val="nil"/>
            </w:tcBorders>
            <w:shd w:val="clear" w:color="auto" w:fill="auto"/>
            <w:noWrap/>
            <w:vAlign w:val="bottom"/>
            <w:hideMark/>
          </w:tcPr>
          <w:p w:rsidR="00311BB2" w:rsidRPr="003B5757" w:rsidRDefault="00311BB2" w:rsidP="006252A9">
            <w:pPr>
              <w:spacing w:after="0" w:line="240" w:lineRule="auto"/>
              <w:rPr>
                <w:rFonts w:ascii="Calibri" w:eastAsia="Times New Roman" w:hAnsi="Calibri" w:cs="Calibri"/>
                <w:b/>
                <w:bCs/>
                <w:color w:val="000000"/>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311BB2" w:rsidRPr="003B5757" w:rsidRDefault="00311BB2"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311BB2" w:rsidRPr="003B5757" w:rsidRDefault="00311BB2" w:rsidP="006252A9">
            <w:pPr>
              <w:spacing w:after="0" w:line="240" w:lineRule="auto"/>
              <w:rPr>
                <w:rFonts w:ascii="Times New Roman" w:eastAsia="Times New Roman" w:hAnsi="Times New Roman" w:cs="Times New Roman"/>
                <w:sz w:val="16"/>
                <w:szCs w:val="16"/>
                <w:lang w:eastAsia="es-ES"/>
              </w:rPr>
            </w:pPr>
          </w:p>
        </w:tc>
        <w:tc>
          <w:tcPr>
            <w:tcW w:w="0" w:type="auto"/>
            <w:tcBorders>
              <w:top w:val="single" w:sz="2" w:space="0" w:color="70AD47" w:themeColor="accent6"/>
              <w:left w:val="nil"/>
              <w:bottom w:val="nil"/>
              <w:right w:val="nil"/>
            </w:tcBorders>
            <w:shd w:val="clear" w:color="auto" w:fill="auto"/>
            <w:noWrap/>
            <w:vAlign w:val="bottom"/>
            <w:hideMark/>
          </w:tcPr>
          <w:p w:rsidR="00311BB2" w:rsidRPr="003B5757" w:rsidRDefault="00311BB2" w:rsidP="006252A9">
            <w:pPr>
              <w:spacing w:after="0" w:line="240" w:lineRule="auto"/>
              <w:rPr>
                <w:rFonts w:ascii="Times New Roman" w:eastAsia="Times New Roman" w:hAnsi="Times New Roman" w:cs="Times New Roman"/>
                <w:sz w:val="16"/>
                <w:szCs w:val="16"/>
                <w:lang w:eastAsia="es-ES"/>
              </w:rPr>
            </w:pPr>
          </w:p>
        </w:tc>
      </w:tr>
      <w:tr w:rsidR="000F7B19" w:rsidRPr="003B5757" w:rsidTr="00717B0B">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rPr>
                <w:rFonts w:ascii="Times New Roman" w:eastAsia="Times New Roman" w:hAnsi="Times New Roman" w:cs="Times New Roman"/>
                <w:sz w:val="16"/>
                <w:szCs w:val="16"/>
                <w:lang w:eastAsia="es-ES"/>
              </w:rPr>
            </w:pPr>
          </w:p>
        </w:tc>
        <w:tc>
          <w:tcPr>
            <w:tcW w:w="0" w:type="auto"/>
            <w:gridSpan w:val="2"/>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Vivienda libre total</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Vivienda libre nueva</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Vivienda libre usada</w:t>
            </w:r>
          </w:p>
        </w:tc>
        <w:tc>
          <w:tcPr>
            <w:tcW w:w="0" w:type="auto"/>
            <w:gridSpan w:val="2"/>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Vivienda protegida</w:t>
            </w:r>
          </w:p>
        </w:tc>
      </w:tr>
      <w:tr w:rsidR="000F7B19" w:rsidRPr="003B5757" w:rsidTr="00717B0B">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rPr>
                <w:rFonts w:ascii="Calibri" w:eastAsia="Times New Roman" w:hAnsi="Calibri" w:cs="Calibri"/>
                <w:color w:val="000000"/>
                <w:sz w:val="16"/>
                <w:szCs w:val="16"/>
                <w:lang w:eastAsia="es-ES"/>
              </w:rPr>
            </w:pP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Andalucía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España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Andalucía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España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Andalucía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España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Andalucía</w:t>
            </w:r>
          </w:p>
        </w:tc>
        <w:tc>
          <w:tcPr>
            <w:tcW w:w="0" w:type="auto"/>
            <w:tcBorders>
              <w:top w:val="nil"/>
              <w:left w:val="nil"/>
              <w:bottom w:val="nil"/>
              <w:right w:val="nil"/>
            </w:tcBorders>
            <w:shd w:val="clear" w:color="auto" w:fill="E2EFD9" w:themeFill="accent6" w:themeFillTint="33"/>
            <w:noWrap/>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España</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2007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1.739,7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2.056,4</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944,1</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1.045,2</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2008</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1.781,8</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2.071,1</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1.016,7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1.116,9</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2009</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1.653,6</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1.917,0</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1.016,8</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1.112,0</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2010</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1.580,7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1.843,0</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1.045,4</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1.146,7</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2011</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1.489,7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1.740,2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1.105,7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1.160,7</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2012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1.333,7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1.588,1</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1.150,2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1.144,7</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2013</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1.247,6</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1.495,4</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1.439,4</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1.761,6</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1.243,8</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1.485,3</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1.139,9</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1.114,0</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2014</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1.208,1</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1.459,4</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1.387,1</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1.715,2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1.204,9</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1.449,7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1.074,5</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1.098,5</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2015</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1.216,0</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1.475,2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1.362,7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1.734,3</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1.213,1</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1.465,8</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1.068,6</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1.095,5</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2021</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1.337,5</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1.657,6</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1.583,4</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1.927,2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1.331,2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1.649,3</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1.126,4</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1.142,9</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2022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1.410,6</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1.741,0</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1.674,2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2.036,7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1.404,3</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1.732,1</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1.139,0</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1.147,0</w:t>
            </w:r>
          </w:p>
        </w:tc>
      </w:tr>
      <w:tr w:rsidR="000F7B19" w:rsidRPr="003B5757" w:rsidTr="007F0F03">
        <w:tc>
          <w:tcPr>
            <w:tcW w:w="0" w:type="auto"/>
            <w:tcBorders>
              <w:top w:val="nil"/>
              <w:left w:val="nil"/>
              <w:bottom w:val="nil"/>
              <w:right w:val="nil"/>
            </w:tcBorders>
            <w:shd w:val="clear" w:color="auto" w:fill="E2EFD9" w:themeFill="accent6" w:themeFillTint="33"/>
            <w:noWrap/>
            <w:vAlign w:val="bottom"/>
            <w:hideMark/>
          </w:tcPr>
          <w:p w:rsidR="000E0D3D" w:rsidRPr="003B5757" w:rsidRDefault="000E0D3D" w:rsidP="006252A9">
            <w:pPr>
              <w:spacing w:after="0" w:line="240" w:lineRule="auto"/>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t322</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1.414,3</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Pr>
                <w:rFonts w:ascii="Calibri" w:eastAsia="Times New Roman" w:hAnsi="Calibri" w:cs="Calibri"/>
                <w:color w:val="000000"/>
                <w:sz w:val="16"/>
                <w:szCs w:val="16"/>
                <w:lang w:eastAsia="es-ES"/>
              </w:rPr>
              <w:t>1.</w:t>
            </w:r>
            <w:r w:rsidRPr="003B5757">
              <w:rPr>
                <w:rFonts w:ascii="Calibri" w:eastAsia="Times New Roman" w:hAnsi="Calibri" w:cs="Calibri"/>
                <w:color w:val="000000"/>
                <w:sz w:val="16"/>
                <w:szCs w:val="16"/>
                <w:lang w:eastAsia="es-ES"/>
              </w:rPr>
              <w:t>740,0</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1.690,7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2.051,8</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1.407,7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1.730,6</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1.127,7</w:t>
            </w:r>
          </w:p>
        </w:tc>
        <w:tc>
          <w:tcPr>
            <w:tcW w:w="0" w:type="auto"/>
            <w:tcBorders>
              <w:top w:val="nil"/>
              <w:left w:val="nil"/>
              <w:bottom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1.136,0</w:t>
            </w:r>
          </w:p>
        </w:tc>
      </w:tr>
      <w:tr w:rsidR="000F7B19" w:rsidRPr="003B5757" w:rsidTr="007F0F03">
        <w:tc>
          <w:tcPr>
            <w:tcW w:w="0" w:type="auto"/>
            <w:tcBorders>
              <w:top w:val="nil"/>
              <w:left w:val="nil"/>
              <w:right w:val="nil"/>
            </w:tcBorders>
            <w:shd w:val="clear" w:color="auto" w:fill="E2EFD9" w:themeFill="accent6" w:themeFillTint="33"/>
            <w:noWrap/>
            <w:vAlign w:val="bottom"/>
            <w:hideMark/>
          </w:tcPr>
          <w:p w:rsidR="000E0D3D" w:rsidRPr="003B5757" w:rsidRDefault="000E0D3D" w:rsidP="006252A9">
            <w:pPr>
              <w:spacing w:after="0" w:line="240" w:lineRule="auto"/>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t323</w:t>
            </w:r>
          </w:p>
        </w:tc>
        <w:tc>
          <w:tcPr>
            <w:tcW w:w="0" w:type="auto"/>
            <w:tcBorders>
              <w:top w:val="nil"/>
              <w:left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1.501,1</w:t>
            </w:r>
          </w:p>
        </w:tc>
        <w:tc>
          <w:tcPr>
            <w:tcW w:w="0" w:type="auto"/>
            <w:tcBorders>
              <w:top w:val="nil"/>
              <w:left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1.812,4</w:t>
            </w:r>
          </w:p>
        </w:tc>
        <w:tc>
          <w:tcPr>
            <w:tcW w:w="0" w:type="auto"/>
            <w:tcBorders>
              <w:top w:val="nil"/>
              <w:left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1.771,2</w:t>
            </w:r>
          </w:p>
        </w:tc>
        <w:tc>
          <w:tcPr>
            <w:tcW w:w="0" w:type="auto"/>
            <w:tcBorders>
              <w:top w:val="nil"/>
              <w:left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2.164,8</w:t>
            </w:r>
          </w:p>
        </w:tc>
        <w:tc>
          <w:tcPr>
            <w:tcW w:w="0" w:type="auto"/>
            <w:tcBorders>
              <w:top w:val="nil"/>
              <w:left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1.495,3</w:t>
            </w:r>
          </w:p>
        </w:tc>
        <w:tc>
          <w:tcPr>
            <w:tcW w:w="0" w:type="auto"/>
            <w:tcBorders>
              <w:top w:val="nil"/>
              <w:left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1.802,2</w:t>
            </w:r>
          </w:p>
        </w:tc>
        <w:tc>
          <w:tcPr>
            <w:tcW w:w="0" w:type="auto"/>
            <w:tcBorders>
              <w:top w:val="nil"/>
              <w:left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1.169,3</w:t>
            </w:r>
          </w:p>
        </w:tc>
        <w:tc>
          <w:tcPr>
            <w:tcW w:w="0" w:type="auto"/>
            <w:tcBorders>
              <w:top w:val="nil"/>
              <w:left w:val="nil"/>
              <w:right w:val="nil"/>
            </w:tcBorders>
            <w:shd w:val="clear" w:color="auto" w:fill="auto"/>
            <w:noWrap/>
            <w:vAlign w:val="bottom"/>
            <w:hideMark/>
          </w:tcPr>
          <w:p w:rsidR="000E0D3D" w:rsidRPr="003B5757" w:rsidRDefault="000E0D3D" w:rsidP="006252A9">
            <w:pPr>
              <w:spacing w:after="0" w:line="240" w:lineRule="auto"/>
              <w:jc w:val="right"/>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1.164,6</w:t>
            </w:r>
          </w:p>
        </w:tc>
      </w:tr>
      <w:tr w:rsidR="000F7B19" w:rsidRPr="003B5757" w:rsidTr="00311BB2">
        <w:tc>
          <w:tcPr>
            <w:tcW w:w="0" w:type="auto"/>
            <w:gridSpan w:val="3"/>
            <w:tcBorders>
              <w:top w:val="nil"/>
              <w:left w:val="nil"/>
              <w:bottom w:val="single" w:sz="2" w:space="0" w:color="70AD47" w:themeColor="accent6"/>
              <w:right w:val="nil"/>
            </w:tcBorders>
            <w:shd w:val="clear" w:color="auto" w:fill="auto"/>
            <w:noWrap/>
            <w:vAlign w:val="bottom"/>
            <w:hideMark/>
          </w:tcPr>
          <w:p w:rsidR="000E0D3D" w:rsidRPr="003B5757" w:rsidRDefault="000E0D3D" w:rsidP="006252A9">
            <w:pPr>
              <w:spacing w:after="0" w:line="240" w:lineRule="auto"/>
              <w:rPr>
                <w:rFonts w:ascii="Calibri" w:eastAsia="Times New Roman" w:hAnsi="Calibri" w:cs="Calibri"/>
                <w:color w:val="000000"/>
                <w:sz w:val="16"/>
                <w:szCs w:val="16"/>
                <w:lang w:eastAsia="es-ES"/>
              </w:rPr>
            </w:pPr>
            <w:r w:rsidRPr="003B5757">
              <w:rPr>
                <w:rFonts w:ascii="Calibri" w:eastAsia="Times New Roman" w:hAnsi="Calibri" w:cs="Calibri"/>
                <w:color w:val="000000"/>
                <w:sz w:val="16"/>
                <w:szCs w:val="16"/>
                <w:lang w:eastAsia="es-ES"/>
              </w:rPr>
              <w:t>Fuente: Ministerio de Vivienda y Agenda Urbana</w:t>
            </w:r>
          </w:p>
        </w:tc>
        <w:tc>
          <w:tcPr>
            <w:tcW w:w="0" w:type="auto"/>
            <w:tcBorders>
              <w:top w:val="nil"/>
              <w:left w:val="nil"/>
              <w:bottom w:val="single" w:sz="2" w:space="0" w:color="70AD47" w:themeColor="accent6"/>
              <w:right w:val="nil"/>
            </w:tcBorders>
            <w:shd w:val="clear" w:color="auto" w:fill="auto"/>
            <w:noWrap/>
            <w:vAlign w:val="bottom"/>
            <w:hideMark/>
          </w:tcPr>
          <w:p w:rsidR="000E0D3D" w:rsidRPr="003B5757" w:rsidRDefault="000E0D3D" w:rsidP="006252A9">
            <w:pPr>
              <w:spacing w:after="0" w:line="240" w:lineRule="auto"/>
              <w:rPr>
                <w:rFonts w:ascii="Calibri" w:eastAsia="Times New Roman" w:hAnsi="Calibri" w:cs="Calibri"/>
                <w:color w:val="000000"/>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3B5757"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3B5757"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3B5757"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3B5757"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3B5757" w:rsidRDefault="000E0D3D" w:rsidP="006252A9">
            <w:pPr>
              <w:spacing w:after="0" w:line="240" w:lineRule="auto"/>
              <w:rPr>
                <w:rFonts w:ascii="Times New Roman" w:eastAsia="Times New Roman" w:hAnsi="Times New Roman" w:cs="Times New Roman"/>
                <w:sz w:val="16"/>
                <w:szCs w:val="16"/>
                <w:lang w:eastAsia="es-ES"/>
              </w:rPr>
            </w:pPr>
          </w:p>
        </w:tc>
      </w:tr>
    </w:tbl>
    <w:p w:rsidR="000E0D3D" w:rsidRDefault="000E0D3D" w:rsidP="000E0D3D">
      <w:pPr>
        <w:jc w:val="both"/>
      </w:pPr>
    </w:p>
    <w:p w:rsidR="000E0D3D" w:rsidRDefault="000E0D3D" w:rsidP="000E0D3D">
      <w:pPr>
        <w:jc w:val="both"/>
      </w:pPr>
      <w:r>
        <w:t xml:space="preserve">Por provincias, cabe destacar, en Andalucía, que Málaga registra el mayor precio de la vivienda libre, superando los 2.200 euros en el tercer trimestre de 2023. </w:t>
      </w:r>
    </w:p>
    <w:p w:rsidR="000E0D3D" w:rsidRDefault="0075642C" w:rsidP="000E0D3D">
      <w:pPr>
        <w:jc w:val="both"/>
      </w:pPr>
      <w:r w:rsidRPr="0075642C">
        <w:rPr>
          <w:noProof/>
          <w:lang w:eastAsia="es-ES"/>
        </w:rPr>
        <w:lastRenderedPageBreak/>
        <w:drawing>
          <wp:inline distT="0" distB="0" distL="0" distR="0">
            <wp:extent cx="5400040" cy="3038541"/>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038541"/>
                    </a:xfrm>
                    <a:prstGeom prst="rect">
                      <a:avLst/>
                    </a:prstGeom>
                    <a:noFill/>
                    <a:ln>
                      <a:noFill/>
                    </a:ln>
                  </pic:spPr>
                </pic:pic>
              </a:graphicData>
            </a:graphic>
          </wp:inline>
        </w:drawing>
      </w:r>
    </w:p>
    <w:p w:rsidR="000E0D3D" w:rsidRDefault="000E0D3D" w:rsidP="000E0D3D">
      <w:pPr>
        <w:jc w:val="both"/>
      </w:pPr>
      <w:r>
        <w:t xml:space="preserve">En el caso de la </w:t>
      </w:r>
      <w:r w:rsidRPr="002B0914">
        <w:rPr>
          <w:b/>
        </w:rPr>
        <w:t>vivienda protegida</w:t>
      </w:r>
      <w:r>
        <w:t>, los precios se han mostrado más estables en los últimos años tanto en Andalucía como en España, con valores en el tercer trimestre de 2023 que apenas superan los 1.100 euros en ambos ámbitos, algo superiores a los de 2007.</w:t>
      </w:r>
    </w:p>
    <w:p w:rsidR="000E0D3D" w:rsidRDefault="000E0D3D" w:rsidP="000E0D3D">
      <w:pPr>
        <w:jc w:val="both"/>
      </w:pPr>
      <w:r>
        <w:t>Por comunidades autónomas, solo tres superaban en el tercer trimestre de 2023 el precio medio de la vivienda protegida en el agregado nacional. Tal es el caso de Madrid, Cataluña y Andalucía. Respecto al tercer trimestre de 2007, en Madrid, Andalucía, Aragón y Galicia se han incrementado los precios por encima de los 100 euros/m</w:t>
      </w:r>
      <w:r w:rsidRPr="007B0B2A">
        <w:rPr>
          <w:vertAlign w:val="superscript"/>
        </w:rPr>
        <w:t>2</w:t>
      </w:r>
      <w:r>
        <w:t xml:space="preserve"> y solo País Vasco, Extremadura, Baleares y Navarra han registrado menores precios. </w:t>
      </w:r>
    </w:p>
    <w:p w:rsidR="000E0D3D" w:rsidRDefault="000E0D3D" w:rsidP="000E0D3D">
      <w:pPr>
        <w:jc w:val="both"/>
      </w:pPr>
      <w:r>
        <w:t xml:space="preserve">Por otro lado, los </w:t>
      </w:r>
      <w:r w:rsidRPr="00F05466">
        <w:rPr>
          <w:b/>
        </w:rPr>
        <w:t>precios del alquiler</w:t>
      </w:r>
      <w:r>
        <w:t xml:space="preserve"> en España revelan notables diferencias entre las distintas comunidades autónomas. En este sentido, y según el portal Idealista, estos precios oscilan entre los 6,4 euros/m</w:t>
      </w:r>
      <w:r w:rsidRPr="007B0B2A">
        <w:rPr>
          <w:vertAlign w:val="superscript"/>
        </w:rPr>
        <w:t>2</w:t>
      </w:r>
      <w:r>
        <w:t xml:space="preserve"> de Extremadura y los más de 16 estimados en Cataluña, Madrid y Baleares. En Andalucía este dato asciende a 10,8 euros, inferior al promedio nacional, que se sitúa en 12,4 euros. En términos comparativos en todas las comunidades se ha incrementado este precio respecto al mismo periodo de 2023.</w:t>
      </w:r>
    </w:p>
    <w:p w:rsidR="00311BB2" w:rsidRDefault="000E0D3D" w:rsidP="000E0D3D">
      <w:pPr>
        <w:jc w:val="both"/>
      </w:pPr>
      <w:r>
        <w:t>En el caso de Andalucía, Málaga registra el precio medio más elevado del alquiler a inicios de 2024, con 13,8 euros/m</w:t>
      </w:r>
      <w:r w:rsidRPr="007B0B2A">
        <w:rPr>
          <w:vertAlign w:val="superscript"/>
        </w:rPr>
        <w:t>2</w:t>
      </w:r>
      <w:r>
        <w:t>, seguido de Sevilla y Cádiz (9,9 y 9,2 euros</w:t>
      </w:r>
      <w:r w:rsidR="007B0B2A">
        <w:t>/m</w:t>
      </w:r>
      <w:r w:rsidR="007B0B2A" w:rsidRPr="007B0B2A">
        <w:rPr>
          <w:vertAlign w:val="superscript"/>
        </w:rPr>
        <w:t>2</w:t>
      </w:r>
      <w:r>
        <w:t>).</w:t>
      </w:r>
    </w:p>
    <w:p w:rsidR="00311BB2" w:rsidRDefault="00311BB2">
      <w:r>
        <w:br w:type="page"/>
      </w:r>
    </w:p>
    <w:tbl>
      <w:tblPr>
        <w:tblW w:w="0" w:type="auto"/>
        <w:tblCellMar>
          <w:left w:w="70" w:type="dxa"/>
          <w:right w:w="70" w:type="dxa"/>
        </w:tblCellMar>
        <w:tblLook w:val="04A0" w:firstRow="1" w:lastRow="0" w:firstColumn="1" w:lastColumn="0" w:noHBand="0" w:noVBand="1"/>
      </w:tblPr>
      <w:tblGrid>
        <w:gridCol w:w="1687"/>
        <w:gridCol w:w="1858"/>
        <w:gridCol w:w="1621"/>
        <w:gridCol w:w="1713"/>
        <w:gridCol w:w="1425"/>
      </w:tblGrid>
      <w:tr w:rsidR="000E0D3D" w:rsidRPr="0011592C" w:rsidTr="00311BB2">
        <w:trPr>
          <w:trHeight w:val="20"/>
        </w:trPr>
        <w:tc>
          <w:tcPr>
            <w:tcW w:w="0" w:type="auto"/>
            <w:gridSpan w:val="5"/>
            <w:tcBorders>
              <w:top w:val="single" w:sz="2" w:space="0" w:color="70AD47" w:themeColor="accent6"/>
              <w:left w:val="nil"/>
              <w:bottom w:val="nil"/>
              <w:right w:val="nil"/>
            </w:tcBorders>
            <w:shd w:val="clear" w:color="auto" w:fill="auto"/>
            <w:noWrap/>
            <w:vAlign w:val="bottom"/>
            <w:hideMark/>
          </w:tcPr>
          <w:p w:rsidR="000E0D3D" w:rsidRPr="0011592C" w:rsidRDefault="000E0D3D" w:rsidP="000F7B19">
            <w:pPr>
              <w:spacing w:after="0" w:line="240" w:lineRule="auto"/>
              <w:rPr>
                <w:rFonts w:ascii="Calibri" w:eastAsia="Times New Roman" w:hAnsi="Calibri" w:cs="Calibri"/>
                <w:b/>
                <w:bCs/>
                <w:color w:val="000000"/>
                <w:sz w:val="16"/>
                <w:szCs w:val="16"/>
                <w:lang w:eastAsia="es-ES"/>
              </w:rPr>
            </w:pPr>
            <w:r w:rsidRPr="0011592C">
              <w:rPr>
                <w:rFonts w:ascii="Calibri" w:eastAsia="Times New Roman" w:hAnsi="Calibri" w:cs="Calibri"/>
                <w:b/>
                <w:bCs/>
                <w:color w:val="000000"/>
                <w:sz w:val="16"/>
                <w:szCs w:val="16"/>
                <w:lang w:eastAsia="es-ES"/>
              </w:rPr>
              <w:lastRenderedPageBreak/>
              <w:t>E</w:t>
            </w:r>
            <w:r w:rsidR="000F7B19">
              <w:rPr>
                <w:rFonts w:ascii="Calibri" w:eastAsia="Times New Roman" w:hAnsi="Calibri" w:cs="Calibri"/>
                <w:b/>
                <w:bCs/>
                <w:color w:val="000000"/>
                <w:sz w:val="16"/>
                <w:szCs w:val="16"/>
                <w:lang w:eastAsia="es-ES"/>
              </w:rPr>
              <w:t>volución del precio de la vivienda en alquiler en España</w:t>
            </w:r>
          </w:p>
        </w:tc>
      </w:tr>
      <w:tr w:rsidR="000E0D3D" w:rsidRPr="0011592C" w:rsidTr="007F0F03">
        <w:trPr>
          <w:trHeight w:val="20"/>
        </w:trPr>
        <w:tc>
          <w:tcPr>
            <w:tcW w:w="0" w:type="auto"/>
            <w:tcBorders>
              <w:top w:val="nil"/>
              <w:left w:val="nil"/>
              <w:bottom w:val="nil"/>
              <w:right w:val="nil"/>
            </w:tcBorders>
            <w:shd w:val="clear" w:color="auto" w:fill="FFFFFF" w:themeFill="background1"/>
            <w:vAlign w:val="bottom"/>
            <w:hideMark/>
          </w:tcPr>
          <w:p w:rsidR="000E0D3D" w:rsidRPr="00717B0B" w:rsidRDefault="000E0D3D" w:rsidP="006252A9">
            <w:pPr>
              <w:spacing w:after="0" w:line="240" w:lineRule="auto"/>
              <w:rPr>
                <w:rFonts w:ascii="Calibri" w:eastAsia="Times New Roman" w:hAnsi="Calibri" w:cs="Calibri"/>
                <w:b/>
                <w:bCs/>
                <w:color w:val="000000"/>
                <w:sz w:val="16"/>
                <w:szCs w:val="16"/>
                <w:lang w:eastAsia="es-ES"/>
              </w:rPr>
            </w:pPr>
          </w:p>
        </w:tc>
        <w:tc>
          <w:tcPr>
            <w:tcW w:w="0" w:type="auto"/>
            <w:tcBorders>
              <w:top w:val="nil"/>
              <w:left w:val="nil"/>
              <w:bottom w:val="nil"/>
              <w:right w:val="nil"/>
            </w:tcBorders>
            <w:shd w:val="clear" w:color="auto" w:fill="E2EFD9" w:themeFill="accent6" w:themeFillTint="33"/>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Precio euros/m</w:t>
            </w:r>
            <w:r w:rsidRPr="00717B0B">
              <w:rPr>
                <w:rFonts w:ascii="Calibri" w:eastAsia="Times New Roman" w:hAnsi="Calibri" w:cs="Calibri"/>
                <w:b/>
                <w:color w:val="000000"/>
                <w:sz w:val="16"/>
                <w:szCs w:val="16"/>
                <w:vertAlign w:val="superscript"/>
                <w:lang w:eastAsia="es-ES"/>
              </w:rPr>
              <w:t>2</w:t>
            </w:r>
            <w:r w:rsidRPr="00717B0B">
              <w:rPr>
                <w:rFonts w:ascii="Calibri" w:eastAsia="Times New Roman" w:hAnsi="Calibri" w:cs="Calibri"/>
                <w:b/>
                <w:color w:val="000000"/>
                <w:sz w:val="16"/>
                <w:szCs w:val="16"/>
                <w:lang w:eastAsia="es-ES"/>
              </w:rPr>
              <w:t xml:space="preserve"> ene 2024</w:t>
            </w:r>
          </w:p>
        </w:tc>
        <w:tc>
          <w:tcPr>
            <w:tcW w:w="0" w:type="auto"/>
            <w:tcBorders>
              <w:top w:val="nil"/>
              <w:left w:val="nil"/>
              <w:bottom w:val="nil"/>
              <w:right w:val="nil"/>
            </w:tcBorders>
            <w:shd w:val="clear" w:color="auto" w:fill="E2EFD9" w:themeFill="accent6" w:themeFillTint="33"/>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Variación mensual (%)</w:t>
            </w:r>
          </w:p>
        </w:tc>
        <w:tc>
          <w:tcPr>
            <w:tcW w:w="0" w:type="auto"/>
            <w:tcBorders>
              <w:top w:val="nil"/>
              <w:left w:val="nil"/>
              <w:bottom w:val="nil"/>
              <w:right w:val="nil"/>
            </w:tcBorders>
            <w:shd w:val="clear" w:color="auto" w:fill="E2EFD9" w:themeFill="accent6" w:themeFillTint="33"/>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Variación trimestral (%)</w:t>
            </w:r>
          </w:p>
        </w:tc>
        <w:tc>
          <w:tcPr>
            <w:tcW w:w="0" w:type="auto"/>
            <w:tcBorders>
              <w:top w:val="nil"/>
              <w:left w:val="nil"/>
              <w:bottom w:val="nil"/>
              <w:right w:val="nil"/>
            </w:tcBorders>
            <w:shd w:val="clear" w:color="auto" w:fill="E2EFD9" w:themeFill="accent6" w:themeFillTint="33"/>
            <w:vAlign w:val="bottom"/>
            <w:hideMark/>
          </w:tcPr>
          <w:p w:rsidR="000E0D3D" w:rsidRPr="00717B0B" w:rsidRDefault="000E0D3D" w:rsidP="006252A9">
            <w:pPr>
              <w:spacing w:after="0" w:line="240" w:lineRule="auto"/>
              <w:rPr>
                <w:rFonts w:ascii="Calibri" w:eastAsia="Times New Roman" w:hAnsi="Calibri" w:cs="Calibri"/>
                <w:b/>
                <w:color w:val="000000"/>
                <w:sz w:val="16"/>
                <w:szCs w:val="16"/>
                <w:lang w:eastAsia="es-ES"/>
              </w:rPr>
            </w:pPr>
            <w:r w:rsidRPr="00717B0B">
              <w:rPr>
                <w:rFonts w:ascii="Calibri" w:eastAsia="Times New Roman" w:hAnsi="Calibri" w:cs="Calibri"/>
                <w:b/>
                <w:color w:val="000000"/>
                <w:sz w:val="16"/>
                <w:szCs w:val="16"/>
                <w:lang w:eastAsia="es-ES"/>
              </w:rPr>
              <w:t>Variación anual (%)</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0F7B19" w:rsidRDefault="000E0D3D" w:rsidP="006252A9">
            <w:pPr>
              <w:spacing w:after="0" w:line="240" w:lineRule="auto"/>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ESPAÑA</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12,4</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1,8</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4,5</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10,8</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0F7B19" w:rsidRDefault="000E0D3D" w:rsidP="006252A9">
            <w:pPr>
              <w:spacing w:after="0" w:line="240" w:lineRule="auto"/>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ANDALUCÍA</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10,8</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1,1</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5,5</w:t>
            </w:r>
          </w:p>
        </w:tc>
        <w:tc>
          <w:tcPr>
            <w:tcW w:w="0" w:type="auto"/>
            <w:tcBorders>
              <w:top w:val="nil"/>
              <w:left w:val="nil"/>
              <w:bottom w:val="nil"/>
              <w:right w:val="nil"/>
            </w:tcBorders>
            <w:shd w:val="clear" w:color="auto" w:fill="auto"/>
            <w:noWrap/>
            <w:vAlign w:val="bottom"/>
            <w:hideMark/>
          </w:tcPr>
          <w:p w:rsidR="000E0D3D" w:rsidRPr="000F7B19" w:rsidRDefault="000E0D3D" w:rsidP="006252A9">
            <w:pPr>
              <w:spacing w:after="0" w:line="240" w:lineRule="auto"/>
              <w:jc w:val="right"/>
              <w:rPr>
                <w:rFonts w:ascii="Calibri" w:eastAsia="Times New Roman" w:hAnsi="Calibri" w:cs="Calibri"/>
                <w:b/>
                <w:color w:val="000000"/>
                <w:sz w:val="16"/>
                <w:szCs w:val="16"/>
                <w:lang w:eastAsia="es-ES"/>
              </w:rPr>
            </w:pPr>
            <w:r w:rsidRPr="000F7B19">
              <w:rPr>
                <w:rFonts w:ascii="Calibri" w:eastAsia="Times New Roman" w:hAnsi="Calibri" w:cs="Calibri"/>
                <w:b/>
                <w:color w:val="000000"/>
                <w:sz w:val="16"/>
                <w:szCs w:val="16"/>
                <w:lang w:eastAsia="es-ES"/>
              </w:rPr>
              <w:t>13,1</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Aragón</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8,7</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0,2</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2,2</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6,0</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Asturias</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8,4</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0,1</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1,8</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7,2</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Baleares</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16,2</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0,6</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0,7</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17,6</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Canarias</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13</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1,5</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1,1</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13,2</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Cantabria</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9,5</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1,9</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1,0</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9,5</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Castilla y León</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7,7</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0,3</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1,8</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8,5</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Castilla-La Mancha</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6,7</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0,9</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1,4</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9,6</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Cataluña</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16,4</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2,0</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1,8</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10,1</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C. Valenciana</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10,2</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0,9</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2,1</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15,4</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País Vasco</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13,4</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1,1</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1,5</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5,8</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Extremadura</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6,4</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2,3</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4,8</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10,8</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Galicia</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8,3</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2,0</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5,3</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9,4</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La Rioja</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7,8</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0,8</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1,6</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7,9</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Madrid</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16,5</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2,0</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2,2</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12,7</w:t>
            </w:r>
          </w:p>
        </w:tc>
      </w:tr>
      <w:tr w:rsidR="000E0D3D" w:rsidRPr="0011592C" w:rsidTr="007F0F03">
        <w:trPr>
          <w:trHeight w:val="20"/>
        </w:trPr>
        <w:tc>
          <w:tcPr>
            <w:tcW w:w="0" w:type="auto"/>
            <w:tcBorders>
              <w:top w:val="nil"/>
              <w:left w:val="nil"/>
              <w:bottom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Murcia</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7,6</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0,4</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-0,5</w:t>
            </w:r>
          </w:p>
        </w:tc>
        <w:tc>
          <w:tcPr>
            <w:tcW w:w="0" w:type="auto"/>
            <w:tcBorders>
              <w:top w:val="nil"/>
              <w:left w:val="nil"/>
              <w:bottom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8,9</w:t>
            </w:r>
          </w:p>
        </w:tc>
      </w:tr>
      <w:tr w:rsidR="000E0D3D" w:rsidRPr="0011592C" w:rsidTr="007F0F03">
        <w:trPr>
          <w:trHeight w:val="20"/>
        </w:trPr>
        <w:tc>
          <w:tcPr>
            <w:tcW w:w="0" w:type="auto"/>
            <w:tcBorders>
              <w:top w:val="nil"/>
              <w:left w:val="nil"/>
              <w:right w:val="nil"/>
            </w:tcBorders>
            <w:shd w:val="clear" w:color="auto" w:fill="E2EFD9" w:themeFill="accent6" w:themeFillTint="33"/>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Navarra</w:t>
            </w:r>
          </w:p>
        </w:tc>
        <w:tc>
          <w:tcPr>
            <w:tcW w:w="0" w:type="auto"/>
            <w:tcBorders>
              <w:top w:val="nil"/>
              <w:left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9,8</w:t>
            </w:r>
          </w:p>
        </w:tc>
        <w:tc>
          <w:tcPr>
            <w:tcW w:w="0" w:type="auto"/>
            <w:tcBorders>
              <w:top w:val="nil"/>
              <w:left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-0,1</w:t>
            </w:r>
          </w:p>
        </w:tc>
        <w:tc>
          <w:tcPr>
            <w:tcW w:w="0" w:type="auto"/>
            <w:tcBorders>
              <w:top w:val="nil"/>
              <w:left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1,8</w:t>
            </w:r>
          </w:p>
        </w:tc>
        <w:tc>
          <w:tcPr>
            <w:tcW w:w="0" w:type="auto"/>
            <w:tcBorders>
              <w:top w:val="nil"/>
              <w:left w:val="nil"/>
              <w:right w:val="nil"/>
            </w:tcBorders>
            <w:shd w:val="clear" w:color="auto" w:fill="auto"/>
            <w:noWrap/>
            <w:vAlign w:val="bottom"/>
            <w:hideMark/>
          </w:tcPr>
          <w:p w:rsidR="000E0D3D" w:rsidRPr="0011592C" w:rsidRDefault="000E0D3D" w:rsidP="006252A9">
            <w:pPr>
              <w:spacing w:after="0" w:line="240" w:lineRule="auto"/>
              <w:jc w:val="right"/>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5,6</w:t>
            </w:r>
          </w:p>
        </w:tc>
      </w:tr>
      <w:tr w:rsidR="000E0D3D" w:rsidRPr="0011592C" w:rsidTr="008D1B46">
        <w:trPr>
          <w:trHeight w:val="20"/>
        </w:trPr>
        <w:tc>
          <w:tcPr>
            <w:tcW w:w="0" w:type="auto"/>
            <w:tcBorders>
              <w:top w:val="nil"/>
              <w:left w:val="nil"/>
              <w:bottom w:val="single" w:sz="2" w:space="0" w:color="70AD47" w:themeColor="accent6"/>
              <w:right w:val="nil"/>
            </w:tcBorders>
            <w:shd w:val="clear" w:color="auto" w:fill="auto"/>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r w:rsidRPr="0011592C">
              <w:rPr>
                <w:rFonts w:ascii="Calibri" w:eastAsia="Times New Roman" w:hAnsi="Calibri" w:cs="Calibri"/>
                <w:color w:val="000000"/>
                <w:sz w:val="16"/>
                <w:szCs w:val="16"/>
                <w:lang w:eastAsia="es-ES"/>
              </w:rPr>
              <w:t xml:space="preserve">Fuente: </w:t>
            </w:r>
            <w:r w:rsidR="00DB48EA">
              <w:rPr>
                <w:rFonts w:ascii="Calibri" w:eastAsia="Times New Roman" w:hAnsi="Calibri" w:cs="Calibri"/>
                <w:color w:val="000000"/>
                <w:sz w:val="16"/>
                <w:szCs w:val="16"/>
                <w:lang w:eastAsia="es-ES"/>
              </w:rPr>
              <w:t xml:space="preserve">Portal </w:t>
            </w:r>
            <w:r w:rsidRPr="0011592C">
              <w:rPr>
                <w:rFonts w:ascii="Calibri" w:eastAsia="Times New Roman" w:hAnsi="Calibri" w:cs="Calibri"/>
                <w:color w:val="000000"/>
                <w:sz w:val="16"/>
                <w:szCs w:val="16"/>
                <w:lang w:eastAsia="es-ES"/>
              </w:rPr>
              <w:t>Idealista.</w:t>
            </w:r>
          </w:p>
        </w:tc>
        <w:tc>
          <w:tcPr>
            <w:tcW w:w="0" w:type="auto"/>
            <w:tcBorders>
              <w:top w:val="nil"/>
              <w:left w:val="nil"/>
              <w:bottom w:val="single" w:sz="2" w:space="0" w:color="70AD47" w:themeColor="accent6"/>
              <w:right w:val="nil"/>
            </w:tcBorders>
            <w:shd w:val="clear" w:color="auto" w:fill="auto"/>
            <w:noWrap/>
            <w:vAlign w:val="bottom"/>
            <w:hideMark/>
          </w:tcPr>
          <w:p w:rsidR="000E0D3D" w:rsidRPr="0011592C" w:rsidRDefault="000E0D3D" w:rsidP="006252A9">
            <w:pPr>
              <w:spacing w:after="0" w:line="240" w:lineRule="auto"/>
              <w:rPr>
                <w:rFonts w:ascii="Calibri" w:eastAsia="Times New Roman" w:hAnsi="Calibri" w:cs="Calibri"/>
                <w:color w:val="000000"/>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11592C"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11592C" w:rsidRDefault="000E0D3D" w:rsidP="006252A9">
            <w:pPr>
              <w:spacing w:after="0" w:line="240" w:lineRule="auto"/>
              <w:rPr>
                <w:rFonts w:ascii="Times New Roman" w:eastAsia="Times New Roman" w:hAnsi="Times New Roman" w:cs="Times New Roman"/>
                <w:sz w:val="16"/>
                <w:szCs w:val="16"/>
                <w:lang w:eastAsia="es-ES"/>
              </w:rPr>
            </w:pPr>
          </w:p>
        </w:tc>
        <w:tc>
          <w:tcPr>
            <w:tcW w:w="0" w:type="auto"/>
            <w:tcBorders>
              <w:top w:val="nil"/>
              <w:left w:val="nil"/>
              <w:bottom w:val="single" w:sz="2" w:space="0" w:color="70AD47" w:themeColor="accent6"/>
              <w:right w:val="nil"/>
            </w:tcBorders>
            <w:shd w:val="clear" w:color="auto" w:fill="auto"/>
            <w:noWrap/>
            <w:vAlign w:val="bottom"/>
            <w:hideMark/>
          </w:tcPr>
          <w:p w:rsidR="000E0D3D" w:rsidRPr="0011592C" w:rsidRDefault="000E0D3D" w:rsidP="006252A9">
            <w:pPr>
              <w:spacing w:after="0" w:line="240" w:lineRule="auto"/>
              <w:rPr>
                <w:rFonts w:ascii="Times New Roman" w:eastAsia="Times New Roman" w:hAnsi="Times New Roman" w:cs="Times New Roman"/>
                <w:sz w:val="16"/>
                <w:szCs w:val="16"/>
                <w:lang w:eastAsia="es-ES"/>
              </w:rPr>
            </w:pPr>
          </w:p>
        </w:tc>
      </w:tr>
    </w:tbl>
    <w:p w:rsidR="00DF4883" w:rsidRDefault="00DF4883"/>
    <w:p w:rsidR="009C397F" w:rsidRPr="00947BD3" w:rsidRDefault="00947BD3">
      <w:pPr>
        <w:rPr>
          <w:b/>
        </w:rPr>
      </w:pPr>
      <w:r w:rsidRPr="00947BD3">
        <w:rPr>
          <w:b/>
        </w:rPr>
        <w:t xml:space="preserve">I.1.3. </w:t>
      </w:r>
      <w:r w:rsidR="0020363C">
        <w:rPr>
          <w:b/>
        </w:rPr>
        <w:t xml:space="preserve">Condicionantes </w:t>
      </w:r>
      <w:r w:rsidR="00DF4883">
        <w:rPr>
          <w:b/>
        </w:rPr>
        <w:t xml:space="preserve">socioeconómicos del acceso a la </w:t>
      </w:r>
      <w:r w:rsidR="0020363C">
        <w:rPr>
          <w:b/>
        </w:rPr>
        <w:t>vivienda</w:t>
      </w:r>
    </w:p>
    <w:p w:rsidR="009C397F" w:rsidRDefault="00E9580F" w:rsidP="00E9580F">
      <w:pPr>
        <w:jc w:val="both"/>
      </w:pPr>
      <w:r>
        <w:t>La demanda de vivienda, en propiedad o alquiler, viene determinada por diversos factores. Uno de ellos es el relativo a los precios o los costes de financiación, en el caso de la compra, pero también hay otras variables de carácter económico o demográfico que influyen en las decisiones de adquirir o alquilar una vivienda, tales como el nivel de ingresos y la situación laboral, o los hábitos de la población y su estructura por edades.</w:t>
      </w:r>
    </w:p>
    <w:p w:rsidR="00E9580F" w:rsidRDefault="00E9580F" w:rsidP="00E9580F">
      <w:pPr>
        <w:jc w:val="both"/>
      </w:pPr>
      <w:r>
        <w:t xml:space="preserve">En lo referente a la población, </w:t>
      </w:r>
      <w:r w:rsidR="00B4483F">
        <w:t>según los datos del c</w:t>
      </w:r>
      <w:r w:rsidR="00735451">
        <w:t xml:space="preserve">enso del INE, a 1 de enero de 2023, Andalucía contaba con 8.584.147 habitantes, el 49,3% hombres y el 50,7% mujeres. Esto supone alrededor del 18% de la población española, siendo la comunidad autónoma más poblada. </w:t>
      </w:r>
      <w:r w:rsidR="0002231D">
        <w:t xml:space="preserve">Entre 2001 y 2023, la población andaluza ha aumentado en 1,2 millones, lo que supone un crecimiento relativo del 16,7%, un punto inferior al registrado en el conjunto de España. </w:t>
      </w:r>
    </w:p>
    <w:p w:rsidR="00A83E03" w:rsidRDefault="00A83E03" w:rsidP="00E9580F">
      <w:pPr>
        <w:jc w:val="both"/>
      </w:pPr>
      <w:r w:rsidRPr="00A83E03">
        <w:rPr>
          <w:noProof/>
          <w:lang w:eastAsia="es-ES"/>
        </w:rPr>
        <w:drawing>
          <wp:inline distT="0" distB="0" distL="0" distR="0">
            <wp:extent cx="4572000" cy="3425825"/>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3425825"/>
                    </a:xfrm>
                    <a:prstGeom prst="rect">
                      <a:avLst/>
                    </a:prstGeom>
                    <a:noFill/>
                    <a:ln>
                      <a:noFill/>
                    </a:ln>
                  </pic:spPr>
                </pic:pic>
              </a:graphicData>
            </a:graphic>
          </wp:inline>
        </w:drawing>
      </w:r>
    </w:p>
    <w:p w:rsidR="00BF31F7" w:rsidRDefault="001C7971" w:rsidP="007D365A">
      <w:pPr>
        <w:jc w:val="both"/>
      </w:pPr>
      <w:r>
        <w:lastRenderedPageBreak/>
        <w:t xml:space="preserve">En lo que respecta a la estructura por edades, </w:t>
      </w:r>
      <w:r w:rsidR="004427A9">
        <w:t xml:space="preserve">el 20,2% de la población andaluza tiene menos de 20 años, el 10,8% entre 20 y 29 años, el 6% entre 30 y 34 años, casi un 45% entre 35 y 64 años, y el restante 18,3% tienen más de 65 años. </w:t>
      </w:r>
      <w:r w:rsidR="007D365A">
        <w:t>Esta distribución no varía de forma significativa respecto a la del conjunto de España, si bien la población menor de 25 años tiene un peso algo mayor</w:t>
      </w:r>
      <w:r w:rsidR="00151B03">
        <w:t xml:space="preserve"> en la región</w:t>
      </w:r>
      <w:r w:rsidR="00C07689">
        <w:t>. Por su parte, la población entre 25 y 34 años representa en torno al 11% tanto en Andalucía como en España</w:t>
      </w:r>
      <w:r w:rsidR="007D365A">
        <w:t xml:space="preserve">, en tanto que la de más de 65 años </w:t>
      </w:r>
      <w:r w:rsidR="00C07689">
        <w:t>supone</w:t>
      </w:r>
      <w:r w:rsidR="007D365A">
        <w:t xml:space="preserve"> </w:t>
      </w:r>
      <w:r w:rsidR="00C07689">
        <w:t xml:space="preserve">un porcentaje </w:t>
      </w:r>
      <w:r w:rsidR="007D365A">
        <w:t>algo meno</w:t>
      </w:r>
      <w:r w:rsidR="00C07689">
        <w:t>r</w:t>
      </w:r>
      <w:r w:rsidR="007D365A">
        <w:t xml:space="preserve"> en la población total de </w:t>
      </w:r>
      <w:r w:rsidR="00151B03">
        <w:t>Andalucía</w:t>
      </w:r>
      <w:r w:rsidR="00C07689">
        <w:t xml:space="preserve"> que en el conjunto nacional.</w:t>
      </w:r>
      <w:r w:rsidR="007D365A">
        <w:t xml:space="preserve"> </w:t>
      </w:r>
    </w:p>
    <w:p w:rsidR="006E2F13" w:rsidRDefault="00151B03" w:rsidP="006E2F13">
      <w:pPr>
        <w:jc w:val="center"/>
      </w:pPr>
      <w:r w:rsidRPr="00151B03">
        <w:rPr>
          <w:noProof/>
          <w:lang w:eastAsia="es-ES"/>
        </w:rPr>
        <w:drawing>
          <wp:inline distT="0" distB="0" distL="0" distR="0">
            <wp:extent cx="4572000" cy="3429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02231D" w:rsidRDefault="00737418" w:rsidP="007D365A">
      <w:pPr>
        <w:jc w:val="both"/>
      </w:pPr>
      <w:r>
        <w:t>E</w:t>
      </w:r>
      <w:r w:rsidR="00C07689">
        <w:t xml:space="preserve">n las dos últimas décadas, el crecimiento de la población se ha debido al aumento </w:t>
      </w:r>
      <w:r w:rsidR="001C2CA0">
        <w:t xml:space="preserve">entre aquellos con </w:t>
      </w:r>
      <w:r w:rsidR="00C07689">
        <w:t xml:space="preserve">más de 35 años, mientras que la población de menor edad ha disminuido, incluyendo los menores de 20 años. </w:t>
      </w:r>
      <w:r w:rsidR="00C04B5F">
        <w:t>De este modo</w:t>
      </w:r>
      <w:r w:rsidR="00C07689">
        <w:t>, aunque el índice de envejecimiento (población &gt;64 años/&lt;16 años) en Andalucía</w:t>
      </w:r>
      <w:r w:rsidR="00C04B5F">
        <w:t xml:space="preserve"> es de los más bajos de España, el diferencial con la media española se ha reducido en las dos últimas décadas en torno a 10 puntos porcentuales (p.p.).</w:t>
      </w:r>
    </w:p>
    <w:tbl>
      <w:tblPr>
        <w:tblW w:w="9018" w:type="dxa"/>
        <w:tblInd w:w="-431" w:type="dxa"/>
        <w:tblCellMar>
          <w:left w:w="70" w:type="dxa"/>
          <w:right w:w="70" w:type="dxa"/>
        </w:tblCellMar>
        <w:tblLook w:val="04A0" w:firstRow="1" w:lastRow="0" w:firstColumn="1" w:lastColumn="0" w:noHBand="0" w:noVBand="1"/>
      </w:tblPr>
      <w:tblGrid>
        <w:gridCol w:w="1714"/>
        <w:gridCol w:w="926"/>
        <w:gridCol w:w="875"/>
        <w:gridCol w:w="875"/>
        <w:gridCol w:w="578"/>
        <w:gridCol w:w="673"/>
        <w:gridCol w:w="689"/>
        <w:gridCol w:w="931"/>
        <w:gridCol w:w="938"/>
        <w:gridCol w:w="858"/>
      </w:tblGrid>
      <w:tr w:rsidR="00C50B34" w:rsidRPr="004D78A5" w:rsidTr="008D1B46">
        <w:tc>
          <w:tcPr>
            <w:tcW w:w="9018" w:type="dxa"/>
            <w:gridSpan w:val="10"/>
            <w:tcBorders>
              <w:top w:val="single" w:sz="2" w:space="0" w:color="70AD47" w:themeColor="accent6"/>
            </w:tcBorders>
            <w:shd w:val="clear" w:color="auto" w:fill="auto"/>
            <w:noWrap/>
            <w:vAlign w:val="bottom"/>
            <w:hideMark/>
          </w:tcPr>
          <w:p w:rsidR="00C50B34" w:rsidRPr="004D78A5" w:rsidRDefault="00C50B34" w:rsidP="005E3ABB">
            <w:pPr>
              <w:spacing w:after="0" w:line="240" w:lineRule="auto"/>
              <w:rPr>
                <w:rFonts w:eastAsia="Times New Roman" w:cstheme="minorHAnsi"/>
                <w:sz w:val="20"/>
                <w:szCs w:val="20"/>
                <w:lang w:eastAsia="es-ES"/>
              </w:rPr>
            </w:pPr>
            <w:r w:rsidRPr="004D78A5">
              <w:rPr>
                <w:rFonts w:eastAsia="Times New Roman" w:cstheme="minorHAnsi"/>
                <w:b/>
                <w:bCs/>
                <w:color w:val="000000"/>
                <w:sz w:val="20"/>
                <w:szCs w:val="20"/>
                <w:lang w:eastAsia="es-ES"/>
              </w:rPr>
              <w:t>Evolución de la población por tramos de edad 2001-2023</w:t>
            </w:r>
          </w:p>
        </w:tc>
      </w:tr>
      <w:tr w:rsidR="00C50B34" w:rsidRPr="004D78A5" w:rsidTr="00717B0B">
        <w:tc>
          <w:tcPr>
            <w:tcW w:w="1714"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926"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862"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862"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1940" w:type="dxa"/>
            <w:gridSpan w:val="3"/>
            <w:shd w:val="clear" w:color="auto" w:fill="E2EFD9" w:themeFill="accent6" w:themeFillTint="33"/>
            <w:noWrap/>
            <w:vAlign w:val="bottom"/>
            <w:hideMark/>
          </w:tcPr>
          <w:p w:rsidR="00C50B34" w:rsidRPr="004D78A5" w:rsidRDefault="00C50B34" w:rsidP="005E3ABB">
            <w:pPr>
              <w:spacing w:after="0" w:line="240" w:lineRule="auto"/>
              <w:jc w:val="center"/>
              <w:rPr>
                <w:rFonts w:eastAsia="Times New Roman" w:cstheme="minorHAnsi"/>
                <w:b/>
                <w:bCs/>
                <w:color w:val="000000"/>
                <w:sz w:val="18"/>
                <w:szCs w:val="18"/>
                <w:lang w:eastAsia="es-ES"/>
              </w:rPr>
            </w:pPr>
            <w:r w:rsidRPr="004D78A5">
              <w:rPr>
                <w:rFonts w:eastAsia="Times New Roman" w:cstheme="minorHAnsi"/>
                <w:b/>
                <w:bCs/>
                <w:color w:val="000000"/>
                <w:sz w:val="18"/>
                <w:szCs w:val="18"/>
                <w:lang w:eastAsia="es-ES"/>
              </w:rPr>
              <w:t>Porcentaje s/total</w:t>
            </w:r>
          </w:p>
        </w:tc>
        <w:tc>
          <w:tcPr>
            <w:tcW w:w="2714" w:type="dxa"/>
            <w:gridSpan w:val="3"/>
            <w:shd w:val="clear" w:color="auto" w:fill="E2EFD9" w:themeFill="accent6" w:themeFillTint="33"/>
            <w:noWrap/>
            <w:vAlign w:val="bottom"/>
            <w:hideMark/>
          </w:tcPr>
          <w:p w:rsidR="00C50B34" w:rsidRPr="004D78A5" w:rsidRDefault="00C50B34" w:rsidP="005E3ABB">
            <w:pPr>
              <w:spacing w:after="0" w:line="240" w:lineRule="auto"/>
              <w:jc w:val="center"/>
              <w:rPr>
                <w:rFonts w:eastAsia="Times New Roman" w:cstheme="minorHAnsi"/>
                <w:b/>
                <w:bCs/>
                <w:color w:val="000000"/>
                <w:sz w:val="18"/>
                <w:szCs w:val="18"/>
                <w:lang w:eastAsia="es-ES"/>
              </w:rPr>
            </w:pPr>
            <w:r w:rsidRPr="004D78A5">
              <w:rPr>
                <w:rFonts w:eastAsia="Times New Roman" w:cstheme="minorHAnsi"/>
                <w:b/>
                <w:bCs/>
                <w:color w:val="000000"/>
                <w:sz w:val="18"/>
                <w:szCs w:val="18"/>
                <w:lang w:eastAsia="es-ES"/>
              </w:rPr>
              <w:t>Variación en %</w:t>
            </w:r>
          </w:p>
        </w:tc>
      </w:tr>
      <w:tr w:rsidR="00C50B34" w:rsidRPr="004D78A5" w:rsidTr="00717B0B">
        <w:tc>
          <w:tcPr>
            <w:tcW w:w="1714" w:type="dxa"/>
            <w:shd w:val="clear" w:color="auto" w:fill="auto"/>
            <w:noWrap/>
            <w:vAlign w:val="bottom"/>
            <w:hideMark/>
          </w:tcPr>
          <w:p w:rsidR="00C50B34" w:rsidRPr="004D78A5" w:rsidRDefault="00C50B34" w:rsidP="005E3ABB">
            <w:pPr>
              <w:spacing w:after="0" w:line="240" w:lineRule="auto"/>
              <w:jc w:val="center"/>
              <w:rPr>
                <w:rFonts w:eastAsia="Times New Roman" w:cstheme="minorHAnsi"/>
                <w:b/>
                <w:bCs/>
                <w:color w:val="000000"/>
                <w:sz w:val="16"/>
                <w:szCs w:val="16"/>
                <w:lang w:eastAsia="es-ES"/>
              </w:rPr>
            </w:pPr>
          </w:p>
        </w:tc>
        <w:tc>
          <w:tcPr>
            <w:tcW w:w="926" w:type="dxa"/>
            <w:shd w:val="clear" w:color="auto" w:fill="E2EFD9" w:themeFill="accent6" w:themeFillTint="33"/>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2001</w:t>
            </w:r>
          </w:p>
        </w:tc>
        <w:tc>
          <w:tcPr>
            <w:tcW w:w="862" w:type="dxa"/>
            <w:shd w:val="clear" w:color="auto" w:fill="E2EFD9" w:themeFill="accent6" w:themeFillTint="33"/>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2011</w:t>
            </w:r>
          </w:p>
        </w:tc>
        <w:tc>
          <w:tcPr>
            <w:tcW w:w="862" w:type="dxa"/>
            <w:shd w:val="clear" w:color="auto" w:fill="E2EFD9" w:themeFill="accent6" w:themeFillTint="33"/>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2023</w:t>
            </w:r>
          </w:p>
        </w:tc>
        <w:tc>
          <w:tcPr>
            <w:tcW w:w="578" w:type="dxa"/>
            <w:shd w:val="clear" w:color="auto" w:fill="E2EFD9" w:themeFill="accent6" w:themeFillTint="33"/>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2001</w:t>
            </w:r>
          </w:p>
        </w:tc>
        <w:tc>
          <w:tcPr>
            <w:tcW w:w="673" w:type="dxa"/>
            <w:shd w:val="clear" w:color="auto" w:fill="E2EFD9" w:themeFill="accent6" w:themeFillTint="33"/>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2011</w:t>
            </w:r>
          </w:p>
        </w:tc>
        <w:tc>
          <w:tcPr>
            <w:tcW w:w="689" w:type="dxa"/>
            <w:shd w:val="clear" w:color="auto" w:fill="E2EFD9" w:themeFill="accent6" w:themeFillTint="33"/>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2023</w:t>
            </w:r>
          </w:p>
        </w:tc>
        <w:tc>
          <w:tcPr>
            <w:tcW w:w="931" w:type="dxa"/>
            <w:shd w:val="clear" w:color="auto" w:fill="E2EFD9" w:themeFill="accent6" w:themeFillTint="33"/>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2011/2001</w:t>
            </w:r>
          </w:p>
        </w:tc>
        <w:tc>
          <w:tcPr>
            <w:tcW w:w="938" w:type="dxa"/>
            <w:shd w:val="clear" w:color="auto" w:fill="E2EFD9" w:themeFill="accent6" w:themeFillTint="33"/>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2023/2011</w:t>
            </w:r>
          </w:p>
        </w:tc>
        <w:tc>
          <w:tcPr>
            <w:tcW w:w="845" w:type="dxa"/>
            <w:shd w:val="clear" w:color="auto" w:fill="E2EFD9" w:themeFill="accent6" w:themeFillTint="33"/>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2023/2001</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b/>
                <w:bCs/>
                <w:i/>
                <w:iCs/>
                <w:color w:val="000000"/>
                <w:sz w:val="16"/>
                <w:szCs w:val="16"/>
                <w:lang w:eastAsia="es-ES"/>
              </w:rPr>
            </w:pPr>
            <w:r w:rsidRPr="004D78A5">
              <w:rPr>
                <w:rFonts w:eastAsia="Times New Roman" w:cstheme="minorHAnsi"/>
                <w:b/>
                <w:bCs/>
                <w:i/>
                <w:iCs/>
                <w:color w:val="000000"/>
                <w:sz w:val="16"/>
                <w:szCs w:val="16"/>
                <w:lang w:eastAsia="es-ES"/>
              </w:rPr>
              <w:t>ANDALUCÍA</w:t>
            </w:r>
          </w:p>
        </w:tc>
        <w:tc>
          <w:tcPr>
            <w:tcW w:w="926" w:type="dxa"/>
            <w:shd w:val="clear" w:color="auto" w:fill="auto"/>
            <w:noWrap/>
            <w:vAlign w:val="bottom"/>
            <w:hideMark/>
          </w:tcPr>
          <w:p w:rsidR="00C50B34" w:rsidRPr="004D78A5" w:rsidRDefault="00C50B34" w:rsidP="005E3ABB">
            <w:pPr>
              <w:spacing w:after="0" w:line="240" w:lineRule="auto"/>
              <w:rPr>
                <w:rFonts w:eastAsia="Times New Roman" w:cstheme="minorHAnsi"/>
                <w:b/>
                <w:bCs/>
                <w:i/>
                <w:iCs/>
                <w:color w:val="000000"/>
                <w:sz w:val="16"/>
                <w:szCs w:val="16"/>
                <w:lang w:eastAsia="es-ES"/>
              </w:rPr>
            </w:pPr>
          </w:p>
        </w:tc>
        <w:tc>
          <w:tcPr>
            <w:tcW w:w="862"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862"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578"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673"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689"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931"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938"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845"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Menores de 20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1.794.590</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1.842.256</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1.734.255</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24,4</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22,0</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20,2</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2,7</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-5,9</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-3,4</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20-24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614.308</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507.365</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462.857</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8,3</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6,1</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5,4</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-17,4</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-8,8</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-24,7</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25-29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627.985</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581.121</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466.724</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8,5</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6,9</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5,4</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-7,5</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-19,7</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-25,7</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30-34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610.185</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692.460</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515.808</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8,3</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8,3</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6,0</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13,5</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-25,5</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-15,5</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35-64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2.636.520</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3.467.986</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3.836.463</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35,8</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41,4</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44,7</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31,5</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10,6</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45,5</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&gt;6</w:t>
            </w:r>
            <w:r>
              <w:rPr>
                <w:rFonts w:eastAsia="Times New Roman" w:cstheme="minorHAnsi"/>
                <w:color w:val="000000"/>
                <w:sz w:val="16"/>
                <w:szCs w:val="16"/>
                <w:lang w:eastAsia="es-ES"/>
              </w:rPr>
              <w:t>5</w:t>
            </w:r>
            <w:r w:rsidRPr="004D78A5">
              <w:rPr>
                <w:rFonts w:eastAsia="Times New Roman" w:cstheme="minorHAnsi"/>
                <w:color w:val="000000"/>
                <w:sz w:val="16"/>
                <w:szCs w:val="16"/>
                <w:lang w:eastAsia="es-ES"/>
              </w:rPr>
              <w:t xml:space="preserve">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1.073.970</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1.280.083</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1.568.040</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14,6</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15,3</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18,3</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19,2</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22,5</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46,0</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TOTAL</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7.357.558</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8.371.270</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8.584.147</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100,0</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100,0</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100,0</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13,8</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2,5</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16,7</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b/>
                <w:bCs/>
                <w:i/>
                <w:iCs/>
                <w:color w:val="000000"/>
                <w:sz w:val="16"/>
                <w:szCs w:val="16"/>
                <w:lang w:eastAsia="es-ES"/>
              </w:rPr>
            </w:pPr>
            <w:r w:rsidRPr="004D78A5">
              <w:rPr>
                <w:rFonts w:eastAsia="Times New Roman" w:cstheme="minorHAnsi"/>
                <w:b/>
                <w:bCs/>
                <w:i/>
                <w:iCs/>
                <w:color w:val="000000"/>
                <w:sz w:val="16"/>
                <w:szCs w:val="16"/>
                <w:lang w:eastAsia="es-ES"/>
              </w:rPr>
              <w:t>ESPAÑA</w:t>
            </w:r>
          </w:p>
        </w:tc>
        <w:tc>
          <w:tcPr>
            <w:tcW w:w="926" w:type="dxa"/>
            <w:shd w:val="clear" w:color="auto" w:fill="auto"/>
            <w:noWrap/>
            <w:vAlign w:val="bottom"/>
            <w:hideMark/>
          </w:tcPr>
          <w:p w:rsidR="00C50B34" w:rsidRPr="004D78A5" w:rsidRDefault="00C50B34" w:rsidP="005E3ABB">
            <w:pPr>
              <w:spacing w:after="0" w:line="240" w:lineRule="auto"/>
              <w:rPr>
                <w:rFonts w:eastAsia="Times New Roman" w:cstheme="minorHAnsi"/>
                <w:b/>
                <w:bCs/>
                <w:i/>
                <w:iCs/>
                <w:color w:val="000000"/>
                <w:sz w:val="16"/>
                <w:szCs w:val="16"/>
                <w:lang w:eastAsia="es-ES"/>
              </w:rPr>
            </w:pPr>
          </w:p>
        </w:tc>
        <w:tc>
          <w:tcPr>
            <w:tcW w:w="862"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862"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578"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673"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689"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931"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938"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c>
          <w:tcPr>
            <w:tcW w:w="845" w:type="dxa"/>
            <w:shd w:val="clear" w:color="auto" w:fill="auto"/>
            <w:noWrap/>
            <w:vAlign w:val="bottom"/>
            <w:hideMark/>
          </w:tcPr>
          <w:p w:rsidR="00C50B34" w:rsidRPr="004D78A5" w:rsidRDefault="00C50B34" w:rsidP="005E3ABB">
            <w:pPr>
              <w:spacing w:after="0" w:line="240" w:lineRule="auto"/>
              <w:rPr>
                <w:rFonts w:eastAsia="Times New Roman" w:cstheme="minorHAnsi"/>
                <w:sz w:val="16"/>
                <w:szCs w:val="16"/>
                <w:lang w:eastAsia="es-ES"/>
              </w:rPr>
            </w:pP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Menores de 20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8.397.233</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9.272.373</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9.100.021</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20,6</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19,8</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18,9</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10,4</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-1,9</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8,4</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20-24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3.184.683</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2.515.447</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2.502.990</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7,8</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5,4</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5,2</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-21,0</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-0,5</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-21,4</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25-29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3.500.248</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3.087.607</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2.573.472</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8,6</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6,6</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5,4</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-11,8</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-16,7</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-26,5</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30-34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3.378.579</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3.893.728</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2.799.479</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8,3</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8,3</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5,8</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15,2</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-28,1</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-17,1</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35-64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15.428.112</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19.930.410</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21.421.623</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37,8</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42,6</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44,5</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29,2</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7,5</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38,8</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&gt;6</w:t>
            </w:r>
            <w:r>
              <w:rPr>
                <w:rFonts w:eastAsia="Times New Roman" w:cstheme="minorHAnsi"/>
                <w:color w:val="000000"/>
                <w:sz w:val="16"/>
                <w:szCs w:val="16"/>
                <w:lang w:eastAsia="es-ES"/>
              </w:rPr>
              <w:t>5</w:t>
            </w:r>
            <w:r w:rsidRPr="004D78A5">
              <w:rPr>
                <w:rFonts w:eastAsia="Times New Roman" w:cstheme="minorHAnsi"/>
                <w:color w:val="000000"/>
                <w:sz w:val="16"/>
                <w:szCs w:val="16"/>
                <w:lang w:eastAsia="es-ES"/>
              </w:rPr>
              <w:t xml:space="preserve"> años</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6.958.516</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8.116.350</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9.687.776</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17,0</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17,3</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20,1</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16,6</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19,4</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color w:val="000000"/>
                <w:sz w:val="16"/>
                <w:szCs w:val="16"/>
                <w:lang w:eastAsia="es-ES"/>
              </w:rPr>
            </w:pPr>
            <w:r w:rsidRPr="004D78A5">
              <w:rPr>
                <w:rFonts w:eastAsia="Times New Roman" w:cstheme="minorHAnsi"/>
                <w:color w:val="000000"/>
                <w:sz w:val="16"/>
                <w:szCs w:val="16"/>
                <w:lang w:eastAsia="es-ES"/>
              </w:rPr>
              <w:t>39,2</w:t>
            </w:r>
          </w:p>
        </w:tc>
      </w:tr>
      <w:tr w:rsidR="00C50B34" w:rsidRPr="004D78A5" w:rsidTr="007F0F03">
        <w:tc>
          <w:tcPr>
            <w:tcW w:w="1714" w:type="dxa"/>
            <w:shd w:val="clear" w:color="auto" w:fill="E2EFD9" w:themeFill="accent6" w:themeFillTint="33"/>
            <w:noWrap/>
            <w:vAlign w:val="bottom"/>
            <w:hideMark/>
          </w:tcPr>
          <w:p w:rsidR="00C50B34" w:rsidRPr="004D78A5" w:rsidRDefault="00C50B34" w:rsidP="005E3ABB">
            <w:pPr>
              <w:spacing w:after="0" w:line="240" w:lineRule="auto"/>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TOTAL</w:t>
            </w:r>
          </w:p>
        </w:tc>
        <w:tc>
          <w:tcPr>
            <w:tcW w:w="926"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40.847.371</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46.815.916</w:t>
            </w:r>
          </w:p>
        </w:tc>
        <w:tc>
          <w:tcPr>
            <w:tcW w:w="862"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48.085.361</w:t>
            </w:r>
          </w:p>
        </w:tc>
        <w:tc>
          <w:tcPr>
            <w:tcW w:w="578"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100,0</w:t>
            </w:r>
          </w:p>
        </w:tc>
        <w:tc>
          <w:tcPr>
            <w:tcW w:w="673"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100,0</w:t>
            </w:r>
          </w:p>
        </w:tc>
        <w:tc>
          <w:tcPr>
            <w:tcW w:w="689"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100,0</w:t>
            </w:r>
          </w:p>
        </w:tc>
        <w:tc>
          <w:tcPr>
            <w:tcW w:w="931"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14,6</w:t>
            </w:r>
          </w:p>
        </w:tc>
        <w:tc>
          <w:tcPr>
            <w:tcW w:w="938"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2,7</w:t>
            </w:r>
          </w:p>
        </w:tc>
        <w:tc>
          <w:tcPr>
            <w:tcW w:w="845" w:type="dxa"/>
            <w:shd w:val="clear" w:color="auto" w:fill="auto"/>
            <w:noWrap/>
            <w:vAlign w:val="bottom"/>
            <w:hideMark/>
          </w:tcPr>
          <w:p w:rsidR="00C50B34" w:rsidRPr="004D78A5" w:rsidRDefault="00C50B34" w:rsidP="005E3ABB">
            <w:pPr>
              <w:spacing w:after="0" w:line="240" w:lineRule="auto"/>
              <w:jc w:val="right"/>
              <w:rPr>
                <w:rFonts w:eastAsia="Times New Roman" w:cstheme="minorHAnsi"/>
                <w:b/>
                <w:bCs/>
                <w:color w:val="000000"/>
                <w:sz w:val="16"/>
                <w:szCs w:val="16"/>
                <w:lang w:eastAsia="es-ES"/>
              </w:rPr>
            </w:pPr>
            <w:r w:rsidRPr="004D78A5">
              <w:rPr>
                <w:rFonts w:eastAsia="Times New Roman" w:cstheme="minorHAnsi"/>
                <w:b/>
                <w:bCs/>
                <w:color w:val="000000"/>
                <w:sz w:val="16"/>
                <w:szCs w:val="16"/>
                <w:lang w:eastAsia="es-ES"/>
              </w:rPr>
              <w:t>17,7</w:t>
            </w:r>
          </w:p>
        </w:tc>
      </w:tr>
      <w:tr w:rsidR="00C50B34" w:rsidRPr="004D78A5" w:rsidTr="008D1B46">
        <w:tc>
          <w:tcPr>
            <w:tcW w:w="8173" w:type="dxa"/>
            <w:gridSpan w:val="9"/>
            <w:tcBorders>
              <w:bottom w:val="single" w:sz="2" w:space="0" w:color="70AD47" w:themeColor="accent6"/>
            </w:tcBorders>
            <w:shd w:val="clear" w:color="auto" w:fill="auto"/>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r w:rsidRPr="004D78A5">
              <w:rPr>
                <w:rFonts w:eastAsia="Times New Roman" w:cstheme="minorHAnsi"/>
                <w:color w:val="000000"/>
                <w:sz w:val="16"/>
                <w:szCs w:val="16"/>
                <w:lang w:eastAsia="es-ES"/>
              </w:rPr>
              <w:t xml:space="preserve">Fuente: </w:t>
            </w:r>
            <w:r w:rsidRPr="00737418">
              <w:rPr>
                <w:rFonts w:eastAsia="Times New Roman" w:cstheme="minorHAnsi"/>
                <w:i/>
                <w:color w:val="000000"/>
                <w:sz w:val="16"/>
                <w:szCs w:val="16"/>
                <w:lang w:eastAsia="es-ES"/>
              </w:rPr>
              <w:t>Analistas Económicos de Andalucía</w:t>
            </w:r>
            <w:r w:rsidRPr="004D78A5">
              <w:rPr>
                <w:rFonts w:eastAsia="Times New Roman" w:cstheme="minorHAnsi"/>
                <w:color w:val="000000"/>
                <w:sz w:val="16"/>
                <w:szCs w:val="16"/>
                <w:lang w:eastAsia="es-ES"/>
              </w:rPr>
              <w:t xml:space="preserve"> a partir de los Censos de Población (INE).</w:t>
            </w:r>
          </w:p>
        </w:tc>
        <w:tc>
          <w:tcPr>
            <w:tcW w:w="845" w:type="dxa"/>
            <w:tcBorders>
              <w:bottom w:val="single" w:sz="2" w:space="0" w:color="70AD47" w:themeColor="accent6"/>
            </w:tcBorders>
            <w:shd w:val="clear" w:color="auto" w:fill="auto"/>
            <w:noWrap/>
            <w:vAlign w:val="bottom"/>
            <w:hideMark/>
          </w:tcPr>
          <w:p w:rsidR="00C50B34" w:rsidRPr="004D78A5" w:rsidRDefault="00C50B34" w:rsidP="005E3ABB">
            <w:pPr>
              <w:spacing w:after="0" w:line="240" w:lineRule="auto"/>
              <w:rPr>
                <w:rFonts w:eastAsia="Times New Roman" w:cstheme="minorHAnsi"/>
                <w:color w:val="000000"/>
                <w:sz w:val="16"/>
                <w:szCs w:val="16"/>
                <w:lang w:eastAsia="es-ES"/>
              </w:rPr>
            </w:pPr>
          </w:p>
        </w:tc>
      </w:tr>
    </w:tbl>
    <w:p w:rsidR="0002231D" w:rsidRDefault="0002231D"/>
    <w:p w:rsidR="00660A46" w:rsidRDefault="001B6007" w:rsidP="009663EB">
      <w:pPr>
        <w:jc w:val="both"/>
      </w:pPr>
      <w:r>
        <w:lastRenderedPageBreak/>
        <w:t>Según el c</w:t>
      </w:r>
      <w:r w:rsidR="009663EB">
        <w:t>enso de 2021, se estiman 3,2 millones de hogares en Andalucía</w:t>
      </w:r>
      <w:r w:rsidR="00EF17F8">
        <w:t xml:space="preserve"> (17,5% del total nacional)</w:t>
      </w:r>
      <w:r w:rsidR="009663EB">
        <w:t>, casi 1</w:t>
      </w:r>
      <w:r w:rsidR="000F6471">
        <w:t>55</w:t>
      </w:r>
      <w:r w:rsidR="009663EB">
        <w:t>.</w:t>
      </w:r>
      <w:r w:rsidR="000F6471">
        <w:t>8</w:t>
      </w:r>
      <w:r w:rsidR="009663EB">
        <w:t>00 más que diez años antes</w:t>
      </w:r>
      <w:r w:rsidR="00660A46">
        <w:t>.</w:t>
      </w:r>
      <w:r w:rsidR="00FD4AC9">
        <w:t xml:space="preserve"> </w:t>
      </w:r>
      <w:r w:rsidR="00EF17F8">
        <w:t xml:space="preserve">El 79,2% de los hogares residía en una vivienda de su propiedad, </w:t>
      </w:r>
      <w:r w:rsidR="00127E42">
        <w:t xml:space="preserve">alrededor de </w:t>
      </w:r>
      <w:r w:rsidR="00EF17F8">
        <w:t xml:space="preserve">4 p.p. más que en el conjunto nacional, frente al 81,7% del año 2011. </w:t>
      </w:r>
      <w:r w:rsidR="00870F47">
        <w:t xml:space="preserve">De estos, el 28,3% tenía aún pagos pendientes (hipotecas), frente al 34% del censo anterior. Por su parte, la tendencia a vivir en régimen de alquiler se ha incrementado en 1,6 p.p., representando en 2021 el 11,4% de los hogares, un porcentaje inferior a la media del conjunto nacional (15,9%), donde el incremento ha sido algo </w:t>
      </w:r>
      <w:r w:rsidR="00870F47" w:rsidRPr="00731287">
        <w:t xml:space="preserve">mayor. En </w:t>
      </w:r>
      <w:r w:rsidR="00660A46" w:rsidRPr="00731287">
        <w:t xml:space="preserve">general, en </w:t>
      </w:r>
      <w:r w:rsidR="00C255E0" w:rsidRPr="00731287">
        <w:t>España</w:t>
      </w:r>
      <w:r w:rsidR="00660A46" w:rsidRPr="00731287">
        <w:t>, a mayor tamaño del municipio, mayor porcentaje de hogares que resid</w:t>
      </w:r>
      <w:r w:rsidR="00C255E0" w:rsidRPr="00731287">
        <w:t>en</w:t>
      </w:r>
      <w:r w:rsidR="00660A46" w:rsidRPr="00731287">
        <w:t xml:space="preserve"> en alquiler y menor porcentaje de propietarios de su vivienda habitual.</w:t>
      </w:r>
    </w:p>
    <w:p w:rsidR="005202CF" w:rsidRDefault="00127E42">
      <w:r w:rsidRPr="00127E42">
        <w:rPr>
          <w:noProof/>
          <w:lang w:eastAsia="es-ES"/>
        </w:rPr>
        <w:drawing>
          <wp:inline distT="0" distB="0" distL="0" distR="0">
            <wp:extent cx="5400040" cy="303467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5202CF" w:rsidRDefault="00A8427C" w:rsidP="00AE2099">
      <w:pPr>
        <w:jc w:val="both"/>
      </w:pPr>
      <w:r>
        <w:t xml:space="preserve">Un 26,1% de los hogares de Andalucía están formados por parejas con </w:t>
      </w:r>
      <w:r w:rsidR="003B1BE2">
        <w:t xml:space="preserve">algún </w:t>
      </w:r>
      <w:r>
        <w:t>hijo menor de 25 años</w:t>
      </w:r>
      <w:r w:rsidR="003B1BE2">
        <w:t xml:space="preserve"> y un 6,</w:t>
      </w:r>
      <w:r w:rsidR="005E3ABB">
        <w:t>3</w:t>
      </w:r>
      <w:r w:rsidR="003B1BE2">
        <w:t xml:space="preserve">% por parejas con todos los hijos </w:t>
      </w:r>
      <w:r w:rsidR="005E3ABB">
        <w:t xml:space="preserve">de 25 </w:t>
      </w:r>
      <w:r w:rsidR="003B1BE2">
        <w:t>años</w:t>
      </w:r>
      <w:r w:rsidR="005E3ABB">
        <w:t xml:space="preserve"> o más. Asimismo, </w:t>
      </w:r>
      <w:r w:rsidR="00AE2099">
        <w:t xml:space="preserve">casi un 7% son hogares de un solo progenitor con algún hijo menor de 25 años y alrededor de otro 5% son hogares de un solo progenitor que convive con todos sus hijos mayores de 25 años. En torno a </w:t>
      </w:r>
      <w:r w:rsidR="005E3ABB">
        <w:t xml:space="preserve">una cuarta parte son hogares unipersonales y otro </w:t>
      </w:r>
      <w:r>
        <w:t xml:space="preserve">16,5% </w:t>
      </w:r>
      <w:r w:rsidR="005E3ABB">
        <w:t xml:space="preserve">están formados </w:t>
      </w:r>
      <w:r>
        <w:t>por parejas sin hijos</w:t>
      </w:r>
      <w:r w:rsidR="005E3ABB">
        <w:t xml:space="preserve">. </w:t>
      </w:r>
      <w:r w:rsidR="00D21FDA">
        <w:t>Habría que resaltar, por su relación con el análisis que se está realizando, que un 11% de los hogares está formado por parejas o un solo progenitor que convive con hijos de 25 años o más.</w:t>
      </w:r>
    </w:p>
    <w:p w:rsidR="00D40789" w:rsidRDefault="007456C9" w:rsidP="007456C9">
      <w:pPr>
        <w:jc w:val="both"/>
      </w:pPr>
      <w:r>
        <w:t>De hecho, un</w:t>
      </w:r>
      <w:r w:rsidR="00C779F9">
        <w:t>o</w:t>
      </w:r>
      <w:r>
        <w:t xml:space="preserve"> de los aspectos relevantes con relación a la población joven en Andalucía y España es el elevado porcentaje que todavía no se ha emancipado y, por tanto, convive con familiares. Según los últimos datos publicados por Eurostat, la edad de emancipación de los jóvenes en España se sitúa en los 30,3 años, frente a los 26,4 años de media en la UE</w:t>
      </w:r>
      <w:r w:rsidR="00B94C41">
        <w:t>, aumentando además casi un año en las dos últimas décadas</w:t>
      </w:r>
      <w:r>
        <w:t>. España es el cuarto país de la UE en el que los jóvenes abandona</w:t>
      </w:r>
      <w:r w:rsidR="00C779F9">
        <w:t>n</w:t>
      </w:r>
      <w:r>
        <w:t xml:space="preserve"> el hogar familiar más tarde, por detrás solo de Croacia, Eslovaquia y Grecia, y similar a Bulgaria. En el extremo opuesto, en </w:t>
      </w:r>
      <w:r w:rsidR="00D40789">
        <w:t xml:space="preserve">Finlandia, Suecia y Dinamarca los jóvenes se emancipan con menos de 22 años. </w:t>
      </w:r>
    </w:p>
    <w:p w:rsidR="00731287" w:rsidRDefault="00470B64" w:rsidP="007456C9">
      <w:pPr>
        <w:jc w:val="both"/>
      </w:pPr>
      <w:r>
        <w:t xml:space="preserve">En España, el porcentaje de población de 18 a 34 años que no vive con sus padres se estima en el 34,1%, según las cifras de Eurostat, un porcentaje que ha disminuido en unos 10 p.p. respecto al año 2005 (primer año disponible), y que </w:t>
      </w:r>
      <w:r w:rsidR="00C779F9">
        <w:t xml:space="preserve">se </w:t>
      </w:r>
      <w:r>
        <w:t xml:space="preserve">sitúa 16,5 p.p. por debajo del promedio comunitario, siendo España uno de los países de la UE con un menor porcentaje de jóvenes emancipados en este tramo de edad. </w:t>
      </w:r>
    </w:p>
    <w:p w:rsidR="00731287" w:rsidRDefault="00731287" w:rsidP="007456C9">
      <w:pPr>
        <w:jc w:val="both"/>
      </w:pPr>
      <w:r>
        <w:lastRenderedPageBreak/>
        <w:t xml:space="preserve">Según el último informe del Observatorio de Emancipación del Consejo de la Juventud de España, a mediados de 2023, el 16,3% de la población entre 16 y 29 años estaba emancipada (13,3% hombres y 19,4% mujeres), frente a algo más del 30% de media en la UE. Esto supone una ligera mejora de 0,4 p.p. respecto al año anterior, pero sigue lejos del máximo alcanzado antes de la crisis de 2008 (26,1%). </w:t>
      </w:r>
      <w:r w:rsidR="00242D91">
        <w:t xml:space="preserve">Por el contrario, en Andalucía, el porcentaje de jóvenes emancipados se ha reducido en 1,6 p.p. respecto a la primera mitad de 2022 y en algo más de 6 puntos respecto a 2013, situándose en el 12,9%, el segundo porcentaje más bajo de España y el menor desde al menos el año 2006 (primer año para el que existen datos). </w:t>
      </w:r>
    </w:p>
    <w:p w:rsidR="007456C9" w:rsidRDefault="00C779F9" w:rsidP="007456C9">
      <w:pPr>
        <w:jc w:val="both"/>
      </w:pPr>
      <w:r w:rsidRPr="00C779F9">
        <w:rPr>
          <w:noProof/>
          <w:lang w:eastAsia="es-ES"/>
        </w:rPr>
        <w:drawing>
          <wp:inline distT="0" distB="0" distL="0" distR="0">
            <wp:extent cx="5400040" cy="30346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6A01D8" w:rsidRDefault="00ED3FA7" w:rsidP="007456C9">
      <w:pPr>
        <w:jc w:val="both"/>
      </w:pPr>
      <w:r>
        <w:t>L</w:t>
      </w:r>
      <w:r w:rsidR="007456C9">
        <w:t>a posibilidad de emancipación viene determinada</w:t>
      </w:r>
      <w:r>
        <w:t xml:space="preserve"> fundamentalmente</w:t>
      </w:r>
      <w:r w:rsidR="007456C9">
        <w:t xml:space="preserve"> por los niveles d</w:t>
      </w:r>
      <w:r>
        <w:t xml:space="preserve">e renta y la situación laboral. </w:t>
      </w:r>
      <w:r w:rsidR="006A01D8">
        <w:t>En las dos últimas décadas, el número de ocupados en Andalucía se ha incrementado de forma significativa, si bien la crisis de 2008</w:t>
      </w:r>
      <w:r w:rsidR="00C779F9">
        <w:t>, sobre todo,</w:t>
      </w:r>
      <w:r w:rsidR="006A01D8">
        <w:t xml:space="preserve"> y la pandemia en 2020 provocaron caídas en el empleo y repuntes en las tasas de paro. En concreto, en el cuarto trimestre de 2023, el número de ocupados alcanzó casi los 3,4 millones, lo que supone el 16% del total nacional. Con relación al mismo periodo de 2002 (periodo estrictamente comparable), el empleo ha crecido en Andalucía casi un 33%, una de las tasas más elevadas del país después de las registradas en las islas y Murcia</w:t>
      </w:r>
      <w:r w:rsidR="00280460">
        <w:t>, y un 10% desde 2020, con la recuperación tras la pandemia</w:t>
      </w:r>
      <w:r w:rsidR="006A01D8">
        <w:t>. Una estructura productiva con un mayor peso de actividades intensivas en mano de obra (agricultura, construcción, turismo) explicarían</w:t>
      </w:r>
      <w:r w:rsidR="0042723B">
        <w:t>, en gran medida,</w:t>
      </w:r>
      <w:r w:rsidR="006A01D8">
        <w:t xml:space="preserve"> </w:t>
      </w:r>
      <w:r w:rsidR="00280460">
        <w:t>el</w:t>
      </w:r>
      <w:r w:rsidR="006A01D8">
        <w:t xml:space="preserve"> diferencial</w:t>
      </w:r>
      <w:r w:rsidR="00280460">
        <w:t xml:space="preserve"> en estas décadas. </w:t>
      </w:r>
    </w:p>
    <w:p w:rsidR="006A01D8" w:rsidRDefault="00280460" w:rsidP="007456C9">
      <w:pPr>
        <w:jc w:val="both"/>
      </w:pPr>
      <w:r>
        <w:t>Por el contrario</w:t>
      </w:r>
      <w:r w:rsidR="00437DDE">
        <w:t>, el empleo entre la población de 20 a 34 años</w:t>
      </w:r>
      <w:r w:rsidRPr="00C779F9">
        <w:t xml:space="preserve">, colectivo con más </w:t>
      </w:r>
      <w:r w:rsidR="00C779F9" w:rsidRPr="00C779F9">
        <w:t xml:space="preserve">dificultades para </w:t>
      </w:r>
      <w:r w:rsidRPr="00C779F9">
        <w:t>acceder a una vivienda para emanciparse,</w:t>
      </w:r>
      <w:r>
        <w:t xml:space="preserve"> ha disminuido en las dos últimas décadas alrededor de un 21%, 3 p.p. menos que en el conjunto nacional. Así, el número de ocupados en esta franja de edad ha pasado a representar el 24% del total de ocupados en Andalucía, frente al 40,5% que representaba a finales del año 2022. </w:t>
      </w:r>
      <w:r w:rsidR="00597149">
        <w:t>Por su parte, la tasa de empleo (ocupados respecto a la población de dicho tramo de edad) es 2,7 p.p. inferior a la tasa entre 16 y 64 años, y se situaba a finales de 2023 en el 56,5%, la más baja del conjunto nacional.</w:t>
      </w:r>
    </w:p>
    <w:p w:rsidR="006A01D8" w:rsidRDefault="00597149" w:rsidP="007456C9">
      <w:pPr>
        <w:jc w:val="both"/>
      </w:pPr>
      <w:r>
        <w:t xml:space="preserve">Del mismo modo, la tasa de paro en Andalucía es la más alta del conjunto nacional, tanto entre la población de más de 16 años en conjunto como entre la población de 20 a 34 años, concentrando Andalucía una cuarta parte del número de parados en España. La ratio de </w:t>
      </w:r>
      <w:r>
        <w:lastRenderedPageBreak/>
        <w:t>desempleo se sitúa</w:t>
      </w:r>
      <w:r w:rsidR="00386E7A">
        <w:t>n</w:t>
      </w:r>
      <w:r>
        <w:t xml:space="preserve"> en el 17,6%</w:t>
      </w:r>
      <w:r w:rsidR="00BD3365">
        <w:t xml:space="preserve"> y en el 23,7% en</w:t>
      </w:r>
      <w:r>
        <w:t xml:space="preserve"> el t</w:t>
      </w:r>
      <w:r w:rsidR="00BD3365">
        <w:t xml:space="preserve">ramo de edad entre 20 y 34 años, en tanto que en España se sitúa en el 11,8% y 16,3%, respectivamente, siendo Andalucía la segunda comunidad autónoma que registra un mayor diferencial entre la tasa de paro general y la registrada entre 20 y 34 años. </w:t>
      </w:r>
    </w:p>
    <w:p w:rsidR="00BD3365" w:rsidRDefault="00386E7A">
      <w:r w:rsidRPr="00386E7A">
        <w:rPr>
          <w:noProof/>
          <w:lang w:eastAsia="es-ES"/>
        </w:rPr>
        <w:drawing>
          <wp:inline distT="0" distB="0" distL="0" distR="0">
            <wp:extent cx="5400040" cy="30346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BD3365" w:rsidRDefault="00BD3365"/>
    <w:p w:rsidR="00386E7A" w:rsidRDefault="00386E7A"/>
    <w:tbl>
      <w:tblPr>
        <w:tblW w:w="8823" w:type="dxa"/>
        <w:jc w:val="center"/>
        <w:tblCellMar>
          <w:left w:w="70" w:type="dxa"/>
          <w:right w:w="70" w:type="dxa"/>
        </w:tblCellMar>
        <w:tblLook w:val="04A0" w:firstRow="1" w:lastRow="0" w:firstColumn="1" w:lastColumn="0" w:noHBand="0" w:noVBand="1"/>
      </w:tblPr>
      <w:tblGrid>
        <w:gridCol w:w="1413"/>
        <w:gridCol w:w="992"/>
        <w:gridCol w:w="1418"/>
        <w:gridCol w:w="1045"/>
        <w:gridCol w:w="1045"/>
        <w:gridCol w:w="1045"/>
        <w:gridCol w:w="820"/>
        <w:gridCol w:w="1045"/>
      </w:tblGrid>
      <w:tr w:rsidR="00170ED1" w:rsidRPr="00170ED1" w:rsidTr="0085184B">
        <w:trPr>
          <w:jc w:val="center"/>
        </w:trPr>
        <w:tc>
          <w:tcPr>
            <w:tcW w:w="5913" w:type="dxa"/>
            <w:gridSpan w:val="5"/>
            <w:tcBorders>
              <w:top w:val="single" w:sz="2" w:space="0" w:color="70AD47" w:themeColor="accent6"/>
            </w:tcBorders>
            <w:shd w:val="clear" w:color="auto" w:fill="auto"/>
            <w:noWrap/>
            <w:vAlign w:val="bottom"/>
            <w:hideMark/>
          </w:tcPr>
          <w:p w:rsidR="00170ED1" w:rsidRPr="00170ED1" w:rsidRDefault="00170ED1" w:rsidP="00170ED1">
            <w:pPr>
              <w:spacing w:after="0" w:line="240" w:lineRule="auto"/>
              <w:rPr>
                <w:rFonts w:ascii="Calibri" w:eastAsia="Times New Roman" w:hAnsi="Calibri" w:cs="Calibri"/>
                <w:b/>
                <w:bCs/>
                <w:color w:val="000000"/>
                <w:sz w:val="20"/>
                <w:szCs w:val="20"/>
                <w:lang w:eastAsia="es-ES"/>
              </w:rPr>
            </w:pPr>
            <w:r w:rsidRPr="00170ED1">
              <w:rPr>
                <w:rFonts w:ascii="Calibri" w:eastAsia="Times New Roman" w:hAnsi="Calibri" w:cs="Calibri"/>
                <w:b/>
                <w:bCs/>
                <w:color w:val="000000"/>
                <w:sz w:val="20"/>
                <w:szCs w:val="20"/>
                <w:lang w:eastAsia="es-ES"/>
              </w:rPr>
              <w:t>Indicadores del mercado de trabajo por CC.AA. 4º trimestre 2023</w:t>
            </w:r>
          </w:p>
        </w:tc>
        <w:tc>
          <w:tcPr>
            <w:tcW w:w="1045" w:type="dxa"/>
            <w:tcBorders>
              <w:top w:val="single" w:sz="2" w:space="0" w:color="70AD47" w:themeColor="accent6"/>
            </w:tcBorders>
            <w:shd w:val="clear" w:color="auto" w:fill="auto"/>
            <w:noWrap/>
            <w:vAlign w:val="bottom"/>
            <w:hideMark/>
          </w:tcPr>
          <w:p w:rsidR="00170ED1" w:rsidRPr="00170ED1" w:rsidRDefault="00170ED1" w:rsidP="00170ED1">
            <w:pPr>
              <w:spacing w:after="0" w:line="240" w:lineRule="auto"/>
              <w:rPr>
                <w:rFonts w:ascii="Calibri" w:eastAsia="Times New Roman" w:hAnsi="Calibri" w:cs="Calibri"/>
                <w:b/>
                <w:bCs/>
                <w:color w:val="000000"/>
                <w:sz w:val="16"/>
                <w:szCs w:val="16"/>
                <w:lang w:eastAsia="es-ES"/>
              </w:rPr>
            </w:pPr>
          </w:p>
        </w:tc>
        <w:tc>
          <w:tcPr>
            <w:tcW w:w="820" w:type="dxa"/>
            <w:tcBorders>
              <w:top w:val="single" w:sz="2" w:space="0" w:color="70AD47" w:themeColor="accent6"/>
            </w:tcBorders>
            <w:shd w:val="clear" w:color="auto" w:fill="auto"/>
            <w:noWrap/>
            <w:vAlign w:val="bottom"/>
            <w:hideMark/>
          </w:tcPr>
          <w:p w:rsidR="00170ED1" w:rsidRPr="00170ED1" w:rsidRDefault="00170ED1" w:rsidP="00170ED1">
            <w:pPr>
              <w:spacing w:after="0" w:line="240" w:lineRule="auto"/>
              <w:rPr>
                <w:rFonts w:ascii="Times New Roman" w:eastAsia="Times New Roman" w:hAnsi="Times New Roman" w:cs="Times New Roman"/>
                <w:sz w:val="16"/>
                <w:szCs w:val="16"/>
                <w:lang w:eastAsia="es-ES"/>
              </w:rPr>
            </w:pPr>
          </w:p>
        </w:tc>
        <w:tc>
          <w:tcPr>
            <w:tcW w:w="1045" w:type="dxa"/>
            <w:tcBorders>
              <w:top w:val="single" w:sz="2" w:space="0" w:color="70AD47" w:themeColor="accent6"/>
            </w:tcBorders>
            <w:shd w:val="clear" w:color="auto" w:fill="auto"/>
            <w:noWrap/>
            <w:vAlign w:val="bottom"/>
            <w:hideMark/>
          </w:tcPr>
          <w:p w:rsidR="00170ED1" w:rsidRPr="00170ED1" w:rsidRDefault="00170ED1" w:rsidP="00170ED1">
            <w:pPr>
              <w:spacing w:after="0" w:line="240" w:lineRule="auto"/>
              <w:rPr>
                <w:rFonts w:ascii="Times New Roman" w:eastAsia="Times New Roman" w:hAnsi="Times New Roman" w:cs="Times New Roman"/>
                <w:sz w:val="16"/>
                <w:szCs w:val="16"/>
                <w:lang w:eastAsia="es-ES"/>
              </w:rPr>
            </w:pPr>
          </w:p>
        </w:tc>
      </w:tr>
      <w:tr w:rsidR="00170ED1" w:rsidRPr="00170ED1" w:rsidTr="00687A53">
        <w:trPr>
          <w:jc w:val="center"/>
        </w:trPr>
        <w:tc>
          <w:tcPr>
            <w:tcW w:w="1413" w:type="dxa"/>
            <w:shd w:val="clear" w:color="auto" w:fill="auto"/>
            <w:noWrap/>
            <w:vAlign w:val="bottom"/>
            <w:hideMark/>
          </w:tcPr>
          <w:p w:rsidR="00170ED1" w:rsidRPr="00170ED1" w:rsidRDefault="00170ED1" w:rsidP="00170ED1">
            <w:pPr>
              <w:spacing w:after="0" w:line="240" w:lineRule="auto"/>
              <w:rPr>
                <w:rFonts w:ascii="Calibri" w:eastAsia="Times New Roman" w:hAnsi="Calibri" w:cs="Calibri"/>
                <w:color w:val="000000"/>
                <w:sz w:val="20"/>
                <w:szCs w:val="20"/>
                <w:lang w:eastAsia="es-ES"/>
              </w:rPr>
            </w:pPr>
            <w:r w:rsidRPr="00170ED1">
              <w:rPr>
                <w:rFonts w:ascii="Calibri" w:eastAsia="Times New Roman" w:hAnsi="Calibri" w:cs="Calibri"/>
                <w:color w:val="000000"/>
                <w:sz w:val="20"/>
                <w:szCs w:val="20"/>
                <w:lang w:eastAsia="es-ES"/>
              </w:rPr>
              <w:t>Miles y %</w:t>
            </w:r>
          </w:p>
        </w:tc>
        <w:tc>
          <w:tcPr>
            <w:tcW w:w="992" w:type="dxa"/>
            <w:shd w:val="clear" w:color="auto" w:fill="auto"/>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p>
        </w:tc>
        <w:tc>
          <w:tcPr>
            <w:tcW w:w="1418" w:type="dxa"/>
            <w:shd w:val="clear" w:color="auto" w:fill="auto"/>
            <w:noWrap/>
            <w:vAlign w:val="bottom"/>
            <w:hideMark/>
          </w:tcPr>
          <w:p w:rsidR="00170ED1" w:rsidRPr="00170ED1" w:rsidRDefault="00170ED1" w:rsidP="00170ED1">
            <w:pPr>
              <w:spacing w:after="0" w:line="240" w:lineRule="auto"/>
              <w:rPr>
                <w:rFonts w:ascii="Times New Roman" w:eastAsia="Times New Roman" w:hAnsi="Times New Roman" w:cs="Times New Roman"/>
                <w:sz w:val="16"/>
                <w:szCs w:val="16"/>
                <w:lang w:eastAsia="es-ES"/>
              </w:rPr>
            </w:pPr>
          </w:p>
        </w:tc>
        <w:tc>
          <w:tcPr>
            <w:tcW w:w="1045" w:type="dxa"/>
            <w:shd w:val="clear" w:color="auto" w:fill="auto"/>
            <w:noWrap/>
            <w:vAlign w:val="bottom"/>
            <w:hideMark/>
          </w:tcPr>
          <w:p w:rsidR="00170ED1" w:rsidRPr="00170ED1" w:rsidRDefault="00170ED1" w:rsidP="00170ED1">
            <w:pPr>
              <w:spacing w:after="0" w:line="240" w:lineRule="auto"/>
              <w:rPr>
                <w:rFonts w:ascii="Times New Roman" w:eastAsia="Times New Roman" w:hAnsi="Times New Roman" w:cs="Times New Roman"/>
                <w:sz w:val="16"/>
                <w:szCs w:val="16"/>
                <w:lang w:eastAsia="es-ES"/>
              </w:rPr>
            </w:pPr>
          </w:p>
        </w:tc>
        <w:tc>
          <w:tcPr>
            <w:tcW w:w="2910" w:type="dxa"/>
            <w:gridSpan w:val="3"/>
            <w:shd w:val="clear" w:color="auto" w:fill="auto"/>
            <w:noWrap/>
            <w:vAlign w:val="bottom"/>
            <w:hideMark/>
          </w:tcPr>
          <w:p w:rsidR="00170ED1" w:rsidRPr="00170ED1" w:rsidRDefault="00170ED1" w:rsidP="00170ED1">
            <w:pPr>
              <w:spacing w:after="0" w:line="240" w:lineRule="auto"/>
              <w:rPr>
                <w:rFonts w:ascii="Times New Roman" w:eastAsia="Times New Roman" w:hAnsi="Times New Roman" w:cs="Times New Roman"/>
                <w:sz w:val="16"/>
                <w:szCs w:val="16"/>
                <w:lang w:eastAsia="es-ES"/>
              </w:rPr>
            </w:pPr>
          </w:p>
        </w:tc>
        <w:tc>
          <w:tcPr>
            <w:tcW w:w="1045" w:type="dxa"/>
            <w:shd w:val="clear" w:color="auto" w:fill="auto"/>
            <w:noWrap/>
            <w:vAlign w:val="bottom"/>
            <w:hideMark/>
          </w:tcPr>
          <w:p w:rsidR="00170ED1" w:rsidRPr="00170ED1" w:rsidRDefault="00170ED1" w:rsidP="00170ED1">
            <w:pPr>
              <w:spacing w:after="0" w:line="240" w:lineRule="auto"/>
              <w:jc w:val="center"/>
              <w:rPr>
                <w:rFonts w:ascii="Times New Roman" w:eastAsia="Times New Roman" w:hAnsi="Times New Roman" w:cs="Times New Roman"/>
                <w:sz w:val="16"/>
                <w:szCs w:val="16"/>
                <w:lang w:eastAsia="es-ES"/>
              </w:rPr>
            </w:pPr>
          </w:p>
        </w:tc>
      </w:tr>
      <w:tr w:rsidR="00170ED1" w:rsidRPr="00170ED1" w:rsidTr="00717B0B">
        <w:trPr>
          <w:jc w:val="center"/>
        </w:trPr>
        <w:tc>
          <w:tcPr>
            <w:tcW w:w="1413" w:type="dxa"/>
            <w:shd w:val="clear" w:color="auto" w:fill="auto"/>
            <w:noWrap/>
            <w:vAlign w:val="bottom"/>
            <w:hideMark/>
          </w:tcPr>
          <w:p w:rsidR="00170ED1" w:rsidRPr="00170ED1" w:rsidRDefault="00170ED1" w:rsidP="00170ED1">
            <w:pPr>
              <w:spacing w:after="0" w:line="240" w:lineRule="auto"/>
              <w:jc w:val="center"/>
              <w:rPr>
                <w:rFonts w:ascii="Times New Roman" w:eastAsia="Times New Roman" w:hAnsi="Times New Roman" w:cs="Times New Roman"/>
                <w:sz w:val="16"/>
                <w:szCs w:val="16"/>
                <w:lang w:eastAsia="es-ES"/>
              </w:rPr>
            </w:pPr>
          </w:p>
        </w:tc>
        <w:tc>
          <w:tcPr>
            <w:tcW w:w="992" w:type="dxa"/>
            <w:vMerge w:val="restart"/>
            <w:shd w:val="clear" w:color="auto" w:fill="E2EFD9" w:themeFill="accent6" w:themeFillTint="33"/>
            <w:noWrap/>
            <w:vAlign w:val="bottom"/>
            <w:hideMark/>
          </w:tcPr>
          <w:p w:rsidR="00170ED1" w:rsidRPr="00170ED1" w:rsidRDefault="00170ED1" w:rsidP="00170ED1">
            <w:pPr>
              <w:spacing w:after="0" w:line="240" w:lineRule="auto"/>
              <w:jc w:val="right"/>
              <w:rPr>
                <w:rFonts w:ascii="Times New Roman" w:eastAsia="Times New Roman" w:hAnsi="Times New Roman" w:cs="Times New Roman"/>
                <w:sz w:val="18"/>
                <w:szCs w:val="18"/>
                <w:lang w:eastAsia="es-ES"/>
              </w:rPr>
            </w:pPr>
            <w:r w:rsidRPr="00170ED1">
              <w:rPr>
                <w:rFonts w:ascii="Calibri" w:eastAsia="Times New Roman" w:hAnsi="Calibri" w:cs="Calibri"/>
                <w:b/>
                <w:bCs/>
                <w:color w:val="000000"/>
                <w:sz w:val="18"/>
                <w:szCs w:val="18"/>
                <w:lang w:eastAsia="es-ES"/>
              </w:rPr>
              <w:t xml:space="preserve">Miles ocupados </w:t>
            </w:r>
          </w:p>
        </w:tc>
        <w:tc>
          <w:tcPr>
            <w:tcW w:w="2463" w:type="dxa"/>
            <w:gridSpan w:val="2"/>
            <w:shd w:val="clear" w:color="auto" w:fill="E2EFD9" w:themeFill="accent6" w:themeFillTint="33"/>
            <w:noWrap/>
            <w:vAlign w:val="bottom"/>
            <w:hideMark/>
          </w:tcPr>
          <w:p w:rsidR="00170ED1" w:rsidRPr="00170ED1" w:rsidRDefault="00170ED1" w:rsidP="00170ED1">
            <w:pPr>
              <w:spacing w:after="0" w:line="240" w:lineRule="auto"/>
              <w:jc w:val="center"/>
              <w:rPr>
                <w:rFonts w:ascii="Calibri" w:eastAsia="Times New Roman" w:hAnsi="Calibri" w:cs="Calibri"/>
                <w:b/>
                <w:bCs/>
                <w:color w:val="000000"/>
                <w:sz w:val="18"/>
                <w:szCs w:val="18"/>
                <w:lang w:eastAsia="es-ES"/>
              </w:rPr>
            </w:pPr>
            <w:r w:rsidRPr="00170ED1">
              <w:rPr>
                <w:rFonts w:ascii="Calibri" w:eastAsia="Times New Roman" w:hAnsi="Calibri" w:cs="Calibri"/>
                <w:b/>
                <w:bCs/>
                <w:color w:val="000000"/>
                <w:sz w:val="18"/>
                <w:szCs w:val="18"/>
                <w:lang w:eastAsia="es-ES"/>
              </w:rPr>
              <w:t>Variación 2023/2002 en %</w:t>
            </w:r>
          </w:p>
        </w:tc>
        <w:tc>
          <w:tcPr>
            <w:tcW w:w="2090" w:type="dxa"/>
            <w:gridSpan w:val="2"/>
            <w:shd w:val="clear" w:color="auto" w:fill="E2EFD9" w:themeFill="accent6" w:themeFillTint="33"/>
            <w:noWrap/>
            <w:vAlign w:val="bottom"/>
            <w:hideMark/>
          </w:tcPr>
          <w:p w:rsidR="00170ED1" w:rsidRPr="00170ED1" w:rsidRDefault="00170ED1" w:rsidP="00170ED1">
            <w:pPr>
              <w:spacing w:after="0" w:line="240" w:lineRule="auto"/>
              <w:jc w:val="center"/>
              <w:rPr>
                <w:rFonts w:ascii="Calibri" w:eastAsia="Times New Roman" w:hAnsi="Calibri" w:cs="Calibri"/>
                <w:b/>
                <w:bCs/>
                <w:color w:val="000000"/>
                <w:sz w:val="18"/>
                <w:szCs w:val="18"/>
                <w:lang w:eastAsia="es-ES"/>
              </w:rPr>
            </w:pPr>
            <w:r w:rsidRPr="00170ED1">
              <w:rPr>
                <w:rFonts w:ascii="Calibri" w:eastAsia="Times New Roman" w:hAnsi="Calibri" w:cs="Calibri"/>
                <w:b/>
                <w:bCs/>
                <w:color w:val="000000"/>
                <w:sz w:val="18"/>
                <w:szCs w:val="18"/>
                <w:lang w:eastAsia="es-ES"/>
              </w:rPr>
              <w:t>Tasas de empleo</w:t>
            </w:r>
          </w:p>
        </w:tc>
        <w:tc>
          <w:tcPr>
            <w:tcW w:w="1865" w:type="dxa"/>
            <w:gridSpan w:val="2"/>
            <w:shd w:val="clear" w:color="auto" w:fill="E2EFD9" w:themeFill="accent6" w:themeFillTint="33"/>
            <w:noWrap/>
            <w:vAlign w:val="bottom"/>
            <w:hideMark/>
          </w:tcPr>
          <w:p w:rsidR="00170ED1" w:rsidRPr="00170ED1" w:rsidRDefault="00170ED1" w:rsidP="00170ED1">
            <w:pPr>
              <w:spacing w:after="0" w:line="240" w:lineRule="auto"/>
              <w:jc w:val="center"/>
              <w:rPr>
                <w:rFonts w:ascii="Calibri" w:eastAsia="Times New Roman" w:hAnsi="Calibri" w:cs="Calibri"/>
                <w:b/>
                <w:bCs/>
                <w:color w:val="000000"/>
                <w:sz w:val="18"/>
                <w:szCs w:val="18"/>
                <w:lang w:eastAsia="es-ES"/>
              </w:rPr>
            </w:pPr>
            <w:r w:rsidRPr="00170ED1">
              <w:rPr>
                <w:rFonts w:ascii="Calibri" w:eastAsia="Times New Roman" w:hAnsi="Calibri" w:cs="Calibri"/>
                <w:b/>
                <w:bCs/>
                <w:color w:val="000000"/>
                <w:sz w:val="18"/>
                <w:szCs w:val="18"/>
                <w:lang w:eastAsia="es-ES"/>
              </w:rPr>
              <w:t>Tasas de paro</w:t>
            </w:r>
          </w:p>
        </w:tc>
      </w:tr>
      <w:tr w:rsidR="00170ED1" w:rsidRPr="00170ED1" w:rsidTr="00717B0B">
        <w:trPr>
          <w:jc w:val="center"/>
        </w:trPr>
        <w:tc>
          <w:tcPr>
            <w:tcW w:w="1413" w:type="dxa"/>
            <w:shd w:val="clear" w:color="auto" w:fill="auto"/>
            <w:noWrap/>
            <w:vAlign w:val="bottom"/>
            <w:hideMark/>
          </w:tcPr>
          <w:p w:rsidR="00170ED1" w:rsidRPr="00170ED1" w:rsidRDefault="00170ED1" w:rsidP="00170ED1">
            <w:pPr>
              <w:spacing w:after="0" w:line="240" w:lineRule="auto"/>
              <w:jc w:val="center"/>
              <w:rPr>
                <w:rFonts w:ascii="Calibri" w:eastAsia="Times New Roman" w:hAnsi="Calibri" w:cs="Calibri"/>
                <w:b/>
                <w:bCs/>
                <w:color w:val="000000"/>
                <w:sz w:val="16"/>
                <w:szCs w:val="16"/>
                <w:lang w:eastAsia="es-ES"/>
              </w:rPr>
            </w:pPr>
          </w:p>
        </w:tc>
        <w:tc>
          <w:tcPr>
            <w:tcW w:w="992" w:type="dxa"/>
            <w:vMerge/>
            <w:shd w:val="clear" w:color="auto" w:fill="E2EFD9" w:themeFill="accent6" w:themeFillTint="33"/>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6"/>
                <w:szCs w:val="16"/>
                <w:lang w:eastAsia="es-ES"/>
              </w:rPr>
            </w:pPr>
          </w:p>
        </w:tc>
        <w:tc>
          <w:tcPr>
            <w:tcW w:w="1418" w:type="dxa"/>
            <w:shd w:val="clear" w:color="auto" w:fill="E2EFD9" w:themeFill="accent6" w:themeFillTint="33"/>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8"/>
                <w:szCs w:val="18"/>
                <w:lang w:eastAsia="es-ES"/>
              </w:rPr>
            </w:pPr>
            <w:r w:rsidRPr="00170ED1">
              <w:rPr>
                <w:rFonts w:ascii="Calibri" w:eastAsia="Times New Roman" w:hAnsi="Calibri" w:cs="Calibri"/>
                <w:b/>
                <w:bCs/>
                <w:color w:val="000000"/>
                <w:sz w:val="18"/>
                <w:szCs w:val="18"/>
                <w:lang w:eastAsia="es-ES"/>
              </w:rPr>
              <w:t>Total ocupados</w:t>
            </w:r>
          </w:p>
        </w:tc>
        <w:tc>
          <w:tcPr>
            <w:tcW w:w="1045" w:type="dxa"/>
            <w:shd w:val="clear" w:color="auto" w:fill="E2EFD9" w:themeFill="accent6" w:themeFillTint="33"/>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8"/>
                <w:szCs w:val="18"/>
                <w:lang w:eastAsia="es-ES"/>
              </w:rPr>
            </w:pPr>
            <w:r w:rsidRPr="00170ED1">
              <w:rPr>
                <w:rFonts w:ascii="Calibri" w:eastAsia="Times New Roman" w:hAnsi="Calibri" w:cs="Calibri"/>
                <w:b/>
                <w:bCs/>
                <w:color w:val="000000"/>
                <w:sz w:val="18"/>
                <w:szCs w:val="18"/>
                <w:lang w:eastAsia="es-ES"/>
              </w:rPr>
              <w:t>20-34 años</w:t>
            </w:r>
          </w:p>
        </w:tc>
        <w:tc>
          <w:tcPr>
            <w:tcW w:w="1045" w:type="dxa"/>
            <w:shd w:val="clear" w:color="auto" w:fill="E2EFD9" w:themeFill="accent6" w:themeFillTint="33"/>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8"/>
                <w:szCs w:val="18"/>
                <w:lang w:eastAsia="es-ES"/>
              </w:rPr>
            </w:pPr>
            <w:r w:rsidRPr="00170ED1">
              <w:rPr>
                <w:rFonts w:ascii="Calibri" w:eastAsia="Times New Roman" w:hAnsi="Calibri" w:cs="Calibri"/>
                <w:b/>
                <w:bCs/>
                <w:color w:val="000000"/>
                <w:sz w:val="18"/>
                <w:szCs w:val="18"/>
                <w:lang w:eastAsia="es-ES"/>
              </w:rPr>
              <w:t>16-64 años</w:t>
            </w:r>
          </w:p>
        </w:tc>
        <w:tc>
          <w:tcPr>
            <w:tcW w:w="1045" w:type="dxa"/>
            <w:shd w:val="clear" w:color="auto" w:fill="E2EFD9" w:themeFill="accent6" w:themeFillTint="33"/>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8"/>
                <w:szCs w:val="18"/>
                <w:lang w:eastAsia="es-ES"/>
              </w:rPr>
            </w:pPr>
            <w:r w:rsidRPr="00170ED1">
              <w:rPr>
                <w:rFonts w:ascii="Calibri" w:eastAsia="Times New Roman" w:hAnsi="Calibri" w:cs="Calibri"/>
                <w:b/>
                <w:bCs/>
                <w:color w:val="000000"/>
                <w:sz w:val="18"/>
                <w:szCs w:val="18"/>
                <w:lang w:eastAsia="es-ES"/>
              </w:rPr>
              <w:t>20-34 años</w:t>
            </w:r>
          </w:p>
        </w:tc>
        <w:tc>
          <w:tcPr>
            <w:tcW w:w="820" w:type="dxa"/>
            <w:shd w:val="clear" w:color="auto" w:fill="E2EFD9" w:themeFill="accent6" w:themeFillTint="33"/>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8"/>
                <w:szCs w:val="18"/>
                <w:lang w:eastAsia="es-ES"/>
              </w:rPr>
            </w:pPr>
            <w:r w:rsidRPr="00170ED1">
              <w:rPr>
                <w:rFonts w:ascii="Calibri" w:eastAsia="Times New Roman" w:hAnsi="Calibri" w:cs="Calibri"/>
                <w:b/>
                <w:bCs/>
                <w:color w:val="000000"/>
                <w:sz w:val="18"/>
                <w:szCs w:val="18"/>
                <w:lang w:eastAsia="es-ES"/>
              </w:rPr>
              <w:t>General</w:t>
            </w:r>
          </w:p>
        </w:tc>
        <w:tc>
          <w:tcPr>
            <w:tcW w:w="1045" w:type="dxa"/>
            <w:shd w:val="clear" w:color="auto" w:fill="E2EFD9" w:themeFill="accent6" w:themeFillTint="33"/>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8"/>
                <w:szCs w:val="18"/>
                <w:lang w:eastAsia="es-ES"/>
              </w:rPr>
            </w:pPr>
            <w:r w:rsidRPr="00170ED1">
              <w:rPr>
                <w:rFonts w:ascii="Calibri" w:eastAsia="Times New Roman" w:hAnsi="Calibri" w:cs="Calibri"/>
                <w:b/>
                <w:bCs/>
                <w:color w:val="000000"/>
                <w:sz w:val="18"/>
                <w:szCs w:val="18"/>
                <w:lang w:eastAsia="es-ES"/>
              </w:rPr>
              <w:t>20-34 años</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b/>
                <w:bCs/>
                <w:i/>
                <w:iCs/>
                <w:color w:val="000000"/>
                <w:sz w:val="16"/>
                <w:szCs w:val="16"/>
                <w:lang w:eastAsia="es-ES"/>
              </w:rPr>
            </w:pPr>
            <w:r w:rsidRPr="00170ED1">
              <w:rPr>
                <w:rFonts w:ascii="Calibri" w:eastAsia="Times New Roman" w:hAnsi="Calibri" w:cs="Calibri"/>
                <w:b/>
                <w:bCs/>
                <w:i/>
                <w:iCs/>
                <w:color w:val="000000"/>
                <w:sz w:val="16"/>
                <w:szCs w:val="16"/>
                <w:lang w:eastAsia="es-ES"/>
              </w:rPr>
              <w:t>ANDALUCÍA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i/>
                <w:iCs/>
                <w:color w:val="000000"/>
                <w:sz w:val="16"/>
                <w:szCs w:val="16"/>
                <w:lang w:eastAsia="es-ES"/>
              </w:rPr>
            </w:pPr>
            <w:r w:rsidRPr="00170ED1">
              <w:rPr>
                <w:rFonts w:ascii="Calibri" w:eastAsia="Times New Roman" w:hAnsi="Calibri" w:cs="Calibri"/>
                <w:b/>
                <w:bCs/>
                <w:i/>
                <w:iCs/>
                <w:color w:val="000000"/>
                <w:sz w:val="16"/>
                <w:szCs w:val="16"/>
                <w:lang w:eastAsia="es-ES"/>
              </w:rPr>
              <w:t>3.392,0</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i/>
                <w:iCs/>
                <w:color w:val="000000"/>
                <w:sz w:val="16"/>
                <w:szCs w:val="16"/>
                <w:lang w:eastAsia="es-ES"/>
              </w:rPr>
            </w:pPr>
            <w:r w:rsidRPr="00170ED1">
              <w:rPr>
                <w:rFonts w:ascii="Calibri" w:eastAsia="Times New Roman" w:hAnsi="Calibri" w:cs="Calibri"/>
                <w:b/>
                <w:bCs/>
                <w:i/>
                <w:iCs/>
                <w:color w:val="000000"/>
                <w:sz w:val="16"/>
                <w:szCs w:val="16"/>
                <w:lang w:eastAsia="es-ES"/>
              </w:rPr>
              <w:t>32,8</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i/>
                <w:iCs/>
                <w:color w:val="000000"/>
                <w:sz w:val="16"/>
                <w:szCs w:val="16"/>
                <w:lang w:eastAsia="es-ES"/>
              </w:rPr>
            </w:pPr>
            <w:r w:rsidRPr="00170ED1">
              <w:rPr>
                <w:rFonts w:ascii="Calibri" w:eastAsia="Times New Roman" w:hAnsi="Calibri" w:cs="Calibri"/>
                <w:b/>
                <w:bCs/>
                <w:i/>
                <w:iCs/>
                <w:color w:val="000000"/>
                <w:sz w:val="16"/>
                <w:szCs w:val="16"/>
                <w:lang w:eastAsia="es-ES"/>
              </w:rPr>
              <w:t>-21,3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i/>
                <w:iCs/>
                <w:color w:val="000000"/>
                <w:sz w:val="16"/>
                <w:szCs w:val="16"/>
                <w:lang w:eastAsia="es-ES"/>
              </w:rPr>
            </w:pPr>
            <w:r w:rsidRPr="00170ED1">
              <w:rPr>
                <w:rFonts w:ascii="Calibri" w:eastAsia="Times New Roman" w:hAnsi="Calibri" w:cs="Calibri"/>
                <w:b/>
                <w:bCs/>
                <w:i/>
                <w:iCs/>
                <w:color w:val="000000"/>
                <w:sz w:val="16"/>
                <w:szCs w:val="16"/>
                <w:lang w:eastAsia="es-ES"/>
              </w:rPr>
              <w:t>59,2</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i/>
                <w:iCs/>
                <w:color w:val="000000"/>
                <w:sz w:val="16"/>
                <w:szCs w:val="16"/>
                <w:lang w:eastAsia="es-ES"/>
              </w:rPr>
            </w:pPr>
            <w:r w:rsidRPr="00170ED1">
              <w:rPr>
                <w:rFonts w:ascii="Calibri" w:eastAsia="Times New Roman" w:hAnsi="Calibri" w:cs="Calibri"/>
                <w:b/>
                <w:bCs/>
                <w:i/>
                <w:iCs/>
                <w:color w:val="000000"/>
                <w:sz w:val="16"/>
                <w:szCs w:val="16"/>
                <w:lang w:eastAsia="es-ES"/>
              </w:rPr>
              <w:t>56,5</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i/>
                <w:iCs/>
                <w:color w:val="000000"/>
                <w:sz w:val="16"/>
                <w:szCs w:val="16"/>
                <w:lang w:eastAsia="es-ES"/>
              </w:rPr>
            </w:pPr>
            <w:r w:rsidRPr="00170ED1">
              <w:rPr>
                <w:rFonts w:ascii="Calibri" w:eastAsia="Times New Roman" w:hAnsi="Calibri" w:cs="Calibri"/>
                <w:b/>
                <w:bCs/>
                <w:i/>
                <w:iCs/>
                <w:color w:val="000000"/>
                <w:sz w:val="16"/>
                <w:szCs w:val="16"/>
                <w:lang w:eastAsia="es-ES"/>
              </w:rPr>
              <w:t>17,6</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i/>
                <w:iCs/>
                <w:color w:val="000000"/>
                <w:sz w:val="16"/>
                <w:szCs w:val="16"/>
                <w:lang w:eastAsia="es-ES"/>
              </w:rPr>
            </w:pPr>
            <w:r w:rsidRPr="00170ED1">
              <w:rPr>
                <w:rFonts w:ascii="Calibri" w:eastAsia="Times New Roman" w:hAnsi="Calibri" w:cs="Calibri"/>
                <w:b/>
                <w:bCs/>
                <w:i/>
                <w:iCs/>
                <w:color w:val="000000"/>
                <w:sz w:val="16"/>
                <w:szCs w:val="16"/>
                <w:lang w:eastAsia="es-ES"/>
              </w:rPr>
              <w:t>23,7</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Aragón</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608,8</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19,1</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-25,7</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72,0</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69,7</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7,9</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10,9</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Asturias</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398,8</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5,2</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-45,1</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63,1</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59,9</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11,8</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15,5</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Baleares</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581,1</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44,1</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-17,3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65,8</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59,8</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11,4</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16,7</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Canarias</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1.016,9</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37,9</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-16,2</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62,8</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62,7</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16,2</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20,1</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Cantabria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255,8</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19,0</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-37,5</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67,9</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59,8</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7,5</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14,1</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Castilla y León</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1.009,9</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8,3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-38,6</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68,7</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63,3</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9,5</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15,2</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Castilla-La Mancha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891,5</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31,2</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-20,6</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64,8</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62,5</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12,5</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14,9</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Cataluña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3.716,6</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26,7</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-18,0</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72,1</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70,8</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9,0</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13,1</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Com. Valenciana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2.300,7</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25,5</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-25,0</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66,7</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65,2</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12,7</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16,9</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Extremadura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414,9</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18,8</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-23,6</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61,2</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58,4</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16,3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20,2</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Galicia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1.138,9</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8,1</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-38,3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67,3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63,5</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9,2</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12,8</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Madrid</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3.353,5</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29,8</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-20,0</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72,0</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68,5</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9,7</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14,2</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Murcia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674,8</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34,2</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-27,7</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64,8</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59,4</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11,3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16,0</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Navarra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297,8</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18,5</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-32,7</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69,5</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63,1</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9,3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14,6</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País Vasco</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997,0</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10,1</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-33,1</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72,5</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70,9</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8,7</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La Rioja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142,7</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19,4</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-33,7</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69,3</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62,2</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9,5</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14,3</w:t>
            </w:r>
          </w:p>
        </w:tc>
      </w:tr>
      <w:tr w:rsidR="00170ED1" w:rsidRPr="00170ED1" w:rsidTr="007F0F03">
        <w:trPr>
          <w:jc w:val="center"/>
        </w:trPr>
        <w:tc>
          <w:tcPr>
            <w:tcW w:w="1413" w:type="dxa"/>
            <w:shd w:val="clear" w:color="auto" w:fill="E2EFD9" w:themeFill="accent6" w:themeFillTint="33"/>
            <w:noWrap/>
            <w:vAlign w:val="bottom"/>
            <w:hideMark/>
          </w:tcPr>
          <w:p w:rsidR="00170ED1" w:rsidRPr="00170ED1" w:rsidRDefault="00170ED1" w:rsidP="00170ED1">
            <w:pPr>
              <w:spacing w:after="0" w:line="240" w:lineRule="auto"/>
              <w:rPr>
                <w:rFonts w:ascii="Calibri" w:eastAsia="Times New Roman" w:hAnsi="Calibri" w:cs="Calibri"/>
                <w:b/>
                <w:bCs/>
                <w:color w:val="000000"/>
                <w:sz w:val="16"/>
                <w:szCs w:val="16"/>
                <w:lang w:eastAsia="es-ES"/>
              </w:rPr>
            </w:pPr>
            <w:r w:rsidRPr="00170ED1">
              <w:rPr>
                <w:rFonts w:ascii="Calibri" w:eastAsia="Times New Roman" w:hAnsi="Calibri" w:cs="Calibri"/>
                <w:b/>
                <w:bCs/>
                <w:color w:val="000000"/>
                <w:sz w:val="16"/>
                <w:szCs w:val="16"/>
                <w:lang w:eastAsia="es-ES"/>
              </w:rPr>
              <w:t>ESPAÑA</w:t>
            </w:r>
          </w:p>
        </w:tc>
        <w:tc>
          <w:tcPr>
            <w:tcW w:w="992"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6"/>
                <w:szCs w:val="16"/>
                <w:lang w:eastAsia="es-ES"/>
              </w:rPr>
            </w:pPr>
            <w:r w:rsidRPr="00170ED1">
              <w:rPr>
                <w:rFonts w:ascii="Calibri" w:eastAsia="Times New Roman" w:hAnsi="Calibri" w:cs="Calibri"/>
                <w:b/>
                <w:bCs/>
                <w:color w:val="000000"/>
                <w:sz w:val="16"/>
                <w:szCs w:val="16"/>
                <w:lang w:eastAsia="es-ES"/>
              </w:rPr>
              <w:t>21.246,9</w:t>
            </w:r>
          </w:p>
        </w:tc>
        <w:tc>
          <w:tcPr>
            <w:tcW w:w="1418"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6"/>
                <w:szCs w:val="16"/>
                <w:lang w:eastAsia="es-ES"/>
              </w:rPr>
            </w:pPr>
            <w:r w:rsidRPr="00170ED1">
              <w:rPr>
                <w:rFonts w:ascii="Calibri" w:eastAsia="Times New Roman" w:hAnsi="Calibri" w:cs="Calibri"/>
                <w:b/>
                <w:bCs/>
                <w:color w:val="000000"/>
                <w:sz w:val="16"/>
                <w:szCs w:val="16"/>
                <w:lang w:eastAsia="es-ES"/>
              </w:rPr>
              <w:t>25,0</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6"/>
                <w:szCs w:val="16"/>
                <w:lang w:eastAsia="es-ES"/>
              </w:rPr>
            </w:pPr>
            <w:r w:rsidRPr="00170ED1">
              <w:rPr>
                <w:rFonts w:ascii="Calibri" w:eastAsia="Times New Roman" w:hAnsi="Calibri" w:cs="Calibri"/>
                <w:b/>
                <w:bCs/>
                <w:color w:val="000000"/>
                <w:sz w:val="16"/>
                <w:szCs w:val="16"/>
                <w:lang w:eastAsia="es-ES"/>
              </w:rPr>
              <w:t>-24,2</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6"/>
                <w:szCs w:val="16"/>
                <w:lang w:eastAsia="es-ES"/>
              </w:rPr>
            </w:pPr>
            <w:r w:rsidRPr="00170ED1">
              <w:rPr>
                <w:rFonts w:ascii="Calibri" w:eastAsia="Times New Roman" w:hAnsi="Calibri" w:cs="Calibri"/>
                <w:b/>
                <w:bCs/>
                <w:color w:val="000000"/>
                <w:sz w:val="16"/>
                <w:szCs w:val="16"/>
                <w:lang w:eastAsia="es-ES"/>
              </w:rPr>
              <w:t>67,0</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6"/>
                <w:szCs w:val="16"/>
                <w:lang w:eastAsia="es-ES"/>
              </w:rPr>
            </w:pPr>
            <w:r w:rsidRPr="00170ED1">
              <w:rPr>
                <w:rFonts w:ascii="Calibri" w:eastAsia="Times New Roman" w:hAnsi="Calibri" w:cs="Calibri"/>
                <w:b/>
                <w:bCs/>
                <w:color w:val="000000"/>
                <w:sz w:val="16"/>
                <w:szCs w:val="16"/>
                <w:lang w:eastAsia="es-ES"/>
              </w:rPr>
              <w:t>64,3</w:t>
            </w:r>
          </w:p>
        </w:tc>
        <w:tc>
          <w:tcPr>
            <w:tcW w:w="820"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color w:val="000000"/>
                <w:sz w:val="16"/>
                <w:szCs w:val="16"/>
                <w:lang w:eastAsia="es-ES"/>
              </w:rPr>
            </w:pPr>
            <w:r w:rsidRPr="00170ED1">
              <w:rPr>
                <w:rFonts w:ascii="Calibri" w:eastAsia="Times New Roman" w:hAnsi="Calibri" w:cs="Calibri"/>
                <w:b/>
                <w:bCs/>
                <w:color w:val="000000"/>
                <w:sz w:val="16"/>
                <w:szCs w:val="16"/>
                <w:lang w:eastAsia="es-ES"/>
              </w:rPr>
              <w:t>11,8</w:t>
            </w:r>
          </w:p>
        </w:tc>
        <w:tc>
          <w:tcPr>
            <w:tcW w:w="1045" w:type="dxa"/>
            <w:shd w:val="clear" w:color="auto" w:fill="auto"/>
            <w:noWrap/>
            <w:vAlign w:val="bottom"/>
            <w:hideMark/>
          </w:tcPr>
          <w:p w:rsidR="00170ED1" w:rsidRPr="00170ED1" w:rsidRDefault="00170ED1" w:rsidP="00170ED1">
            <w:pPr>
              <w:spacing w:after="0" w:line="240" w:lineRule="auto"/>
              <w:jc w:val="right"/>
              <w:rPr>
                <w:rFonts w:ascii="Calibri" w:eastAsia="Times New Roman" w:hAnsi="Calibri" w:cs="Calibri"/>
                <w:b/>
                <w:bCs/>
                <w:i/>
                <w:iCs/>
                <w:color w:val="000000"/>
                <w:sz w:val="16"/>
                <w:szCs w:val="16"/>
                <w:lang w:eastAsia="es-ES"/>
              </w:rPr>
            </w:pPr>
            <w:r w:rsidRPr="00170ED1">
              <w:rPr>
                <w:rFonts w:ascii="Calibri" w:eastAsia="Times New Roman" w:hAnsi="Calibri" w:cs="Calibri"/>
                <w:b/>
                <w:bCs/>
                <w:i/>
                <w:iCs/>
                <w:color w:val="000000"/>
                <w:sz w:val="16"/>
                <w:szCs w:val="16"/>
                <w:lang w:eastAsia="es-ES"/>
              </w:rPr>
              <w:t>16,3</w:t>
            </w:r>
          </w:p>
        </w:tc>
      </w:tr>
      <w:tr w:rsidR="00170ED1" w:rsidRPr="00170ED1" w:rsidTr="0085184B">
        <w:trPr>
          <w:jc w:val="center"/>
        </w:trPr>
        <w:tc>
          <w:tcPr>
            <w:tcW w:w="8823" w:type="dxa"/>
            <w:gridSpan w:val="8"/>
            <w:tcBorders>
              <w:bottom w:val="single" w:sz="2" w:space="0" w:color="70AD47" w:themeColor="accent6"/>
            </w:tcBorders>
            <w:shd w:val="clear" w:color="auto" w:fill="auto"/>
            <w:noWrap/>
            <w:vAlign w:val="bottom"/>
            <w:hideMark/>
          </w:tcPr>
          <w:p w:rsidR="00170ED1" w:rsidRPr="00170ED1" w:rsidRDefault="00170ED1" w:rsidP="000917B8">
            <w:pPr>
              <w:spacing w:after="0" w:line="240" w:lineRule="auto"/>
              <w:rPr>
                <w:rFonts w:ascii="Calibri" w:eastAsia="Times New Roman" w:hAnsi="Calibri" w:cs="Calibri"/>
                <w:color w:val="000000"/>
                <w:sz w:val="16"/>
                <w:szCs w:val="16"/>
                <w:lang w:eastAsia="es-ES"/>
              </w:rPr>
            </w:pPr>
            <w:r w:rsidRPr="00170ED1">
              <w:rPr>
                <w:rFonts w:ascii="Calibri" w:eastAsia="Times New Roman" w:hAnsi="Calibri" w:cs="Calibri"/>
                <w:color w:val="000000"/>
                <w:sz w:val="16"/>
                <w:szCs w:val="16"/>
                <w:lang w:eastAsia="es-ES"/>
              </w:rPr>
              <w:t xml:space="preserve">Fuente: </w:t>
            </w:r>
            <w:r w:rsidRPr="00386E7A">
              <w:rPr>
                <w:rFonts w:ascii="Calibri" w:eastAsia="Times New Roman" w:hAnsi="Calibri" w:cs="Calibri"/>
                <w:i/>
                <w:color w:val="000000"/>
                <w:sz w:val="16"/>
                <w:szCs w:val="16"/>
                <w:lang w:eastAsia="es-ES"/>
              </w:rPr>
              <w:t>Analistas Económicos de Andalucía</w:t>
            </w:r>
            <w:r w:rsidRPr="00170ED1">
              <w:rPr>
                <w:rFonts w:ascii="Calibri" w:eastAsia="Times New Roman" w:hAnsi="Calibri" w:cs="Calibri"/>
                <w:color w:val="000000"/>
                <w:sz w:val="16"/>
                <w:szCs w:val="16"/>
                <w:lang w:eastAsia="es-ES"/>
              </w:rPr>
              <w:t xml:space="preserve"> a partir de la Encuesta de Población Activa </w:t>
            </w:r>
            <w:r w:rsidR="000917B8">
              <w:rPr>
                <w:rFonts w:ascii="Calibri" w:eastAsia="Times New Roman" w:hAnsi="Calibri" w:cs="Calibri"/>
                <w:color w:val="000000"/>
                <w:sz w:val="16"/>
                <w:szCs w:val="16"/>
                <w:lang w:eastAsia="es-ES"/>
              </w:rPr>
              <w:t>del INE</w:t>
            </w:r>
            <w:r w:rsidRPr="00170ED1">
              <w:rPr>
                <w:rFonts w:ascii="Calibri" w:eastAsia="Times New Roman" w:hAnsi="Calibri" w:cs="Calibri"/>
                <w:color w:val="000000"/>
                <w:sz w:val="16"/>
                <w:szCs w:val="16"/>
                <w:lang w:eastAsia="es-ES"/>
              </w:rPr>
              <w:t>.</w:t>
            </w:r>
          </w:p>
        </w:tc>
      </w:tr>
    </w:tbl>
    <w:p w:rsidR="00170ED1" w:rsidRDefault="00170ED1">
      <w:pPr>
        <w:rPr>
          <w:highlight w:val="yellow"/>
        </w:rPr>
      </w:pPr>
    </w:p>
    <w:p w:rsidR="00B02C4E" w:rsidRDefault="00306367" w:rsidP="003D3013">
      <w:pPr>
        <w:jc w:val="both"/>
      </w:pPr>
      <w:r w:rsidRPr="00306367">
        <w:t xml:space="preserve">En cuanto a los niveles de renta, </w:t>
      </w:r>
      <w:r>
        <w:t xml:space="preserve">factor clave para la emancipación y el acceso a la vivienda, </w:t>
      </w:r>
      <w:r w:rsidR="003D3013">
        <w:t xml:space="preserve">la renta neta media en Andalucía, tanto por persona como por hogar, es una de las menores del país. Según los últimos datos publicados de la Encuesta de Condiciones de Vida, </w:t>
      </w:r>
      <w:r w:rsidR="0067690A">
        <w:t xml:space="preserve">la renta media por hogar alcanza los 27.446 euros (datos de la encuesta de 2022 pero referidos a 2021), frente a los 32.216 de la media española. Por provincias, se aprecian diferencias, de modo que solo en Sevilla la renta media por hogar supera los 30.000 euros, mientras que en Málaga y Cádiz la </w:t>
      </w:r>
      <w:r w:rsidR="0067690A">
        <w:lastRenderedPageBreak/>
        <w:t xml:space="preserve">renta se sitúa en torno a 28.500 euros. En el lado contrario, la renta por hogar en Jaén es inferior a los 27.000 euros. Teniendo en cuenta que el tamaño medio del hogar se sitúa en torno a 2,5 personas, </w:t>
      </w:r>
      <w:r w:rsidR="003D3013">
        <w:t>la renta neta media por persona se</w:t>
      </w:r>
      <w:r w:rsidR="0067690A">
        <w:t xml:space="preserve">ría de </w:t>
      </w:r>
      <w:r w:rsidR="003D3013">
        <w:t xml:space="preserve">10.703 euros, casi un 18% </w:t>
      </w:r>
      <w:r w:rsidR="0067690A">
        <w:t>inferior a</w:t>
      </w:r>
      <w:r w:rsidR="003D3013">
        <w:t xml:space="preserve"> la media española (13.008 euros).</w:t>
      </w:r>
    </w:p>
    <w:p w:rsidR="00FB4BB1" w:rsidRDefault="00FB4BB1" w:rsidP="00607AF3">
      <w:pPr>
        <w:jc w:val="both"/>
      </w:pPr>
      <w:r w:rsidRPr="00FB4BB1">
        <w:rPr>
          <w:noProof/>
          <w:lang w:eastAsia="es-ES"/>
        </w:rPr>
        <w:drawing>
          <wp:inline distT="0" distB="0" distL="0" distR="0">
            <wp:extent cx="5400040" cy="303467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170ED1" w:rsidRDefault="00607AF3" w:rsidP="00607AF3">
      <w:pPr>
        <w:jc w:val="both"/>
      </w:pPr>
      <w:r w:rsidRPr="00607AF3">
        <w:t xml:space="preserve">Andalucía es </w:t>
      </w:r>
      <w:r>
        <w:t>una de las comunidades con una mayor tasa de riesgo de pobreza o exclusión social (AROPE, por sus siglas en inglés)</w:t>
      </w:r>
      <w:r w:rsidR="00701566">
        <w:t xml:space="preserve">, concepto amplio que incluye el porcentaje de población </w:t>
      </w:r>
      <w:r w:rsidR="00FB4BB1">
        <w:t xml:space="preserve">en riesgo de pobreza, </w:t>
      </w:r>
      <w:r w:rsidR="00701566">
        <w:t xml:space="preserve">con carencia material y social severa y en hogares con baja intensidad de empleo. Aunque la </w:t>
      </w:r>
      <w:r w:rsidR="00552DEA">
        <w:t>t</w:t>
      </w:r>
      <w:r w:rsidR="00701566">
        <w:t>asa se ha reducido de forma notable en la última década, en Andalucía se sitúa en el 35,8%, frente al 26% de media en España.</w:t>
      </w:r>
    </w:p>
    <w:p w:rsidR="00552DEA" w:rsidRPr="00607AF3" w:rsidRDefault="005D0888" w:rsidP="00607AF3">
      <w:pPr>
        <w:jc w:val="both"/>
      </w:pPr>
      <w:r>
        <w:t xml:space="preserve">Por otra parte, </w:t>
      </w:r>
      <w:r w:rsidR="00F20C49">
        <w:t>s</w:t>
      </w:r>
      <w:r w:rsidR="00F20C49" w:rsidRPr="002172FC">
        <w:t xml:space="preserve">egún la estadística “Los salarios en Andalucía”, del IECA, </w:t>
      </w:r>
      <w:r w:rsidR="00F20C49">
        <w:t>con datos derivados de la explotación de la Muestra Continua de Vidas Laborales</w:t>
      </w:r>
      <w:r>
        <w:t>, en 2022, los asalariados residentes en Andalucía percibieron de media un salario bruto anual</w:t>
      </w:r>
      <w:r w:rsidR="00FB4BB1">
        <w:t xml:space="preserve"> de</w:t>
      </w:r>
      <w:r>
        <w:t xml:space="preserve"> 17.233 euros, lo que supone un aumento superior al 20% desde 2017 (primer año disponible). Este salario representa en torno al 80% del salario medio en España. Por provincias, Málaga y Sevilla tendrían salarios anuales superiores a los 18.000 euros, situándose también por encima de la media regional los salarios en Cádiz y Granada. Por el contrario, en Huelva el salario bruto anual no alcanza los 15.000 euros. </w:t>
      </w:r>
    </w:p>
    <w:p w:rsidR="00170ED1" w:rsidRDefault="00F20C49" w:rsidP="00F20C49">
      <w:pPr>
        <w:jc w:val="both"/>
      </w:pPr>
      <w:r>
        <w:t>C</w:t>
      </w:r>
      <w:r w:rsidR="002172FC">
        <w:t>ada asalariado trabajó de media un 72% del tiempo que supondría una jornada completa que durase todo el año</w:t>
      </w:r>
      <w:r>
        <w:t>. De este modo</w:t>
      </w:r>
      <w:r w:rsidR="002172FC">
        <w:t xml:space="preserve">, en términos del </w:t>
      </w:r>
      <w:r w:rsidR="002172FC" w:rsidRPr="002172FC">
        <w:rPr>
          <w:i/>
        </w:rPr>
        <w:t>salario equivalente anual a tiempo completo</w:t>
      </w:r>
      <w:r w:rsidR="002172FC" w:rsidRPr="002172FC">
        <w:t>,</w:t>
      </w:r>
      <w:r w:rsidR="002172FC">
        <w:t xml:space="preserve"> el salario medio en Andalucía sería cercano a los 24.000 euros, casi el 88% de la media española en este caso</w:t>
      </w:r>
      <w:r w:rsidR="00381B79">
        <w:t xml:space="preserve">, un diferencial algo menor que el señalado anteriormente, dado el peso algo mayor del empleo a tiempo parcial en la región y la mayor tasa </w:t>
      </w:r>
      <w:r w:rsidR="00FB4BB1">
        <w:t xml:space="preserve">de </w:t>
      </w:r>
      <w:r w:rsidR="00381B79">
        <w:t>temporalidad.</w:t>
      </w:r>
    </w:p>
    <w:p w:rsidR="00381B79" w:rsidRDefault="003F5952" w:rsidP="00384960">
      <w:pPr>
        <w:jc w:val="both"/>
      </w:pPr>
      <w:r>
        <w:t xml:space="preserve">Entre los municipios de menos de 40.000 habitantes, el salario bruto anual es alrededor de un 15% inferior (14.635 euros) a la media regional, mientras que en los municipios de más de 100.000 habitantes es casi un 19% superior (20.474 euros). </w:t>
      </w:r>
      <w:r w:rsidR="0083425C">
        <w:t>Entre estos últimos, e</w:t>
      </w:r>
      <w:r w:rsidR="00B32959">
        <w:t xml:space="preserve">n los municipios de Granada, Sevilla y Algeciras el salario bruto medio anual supera la media española, situándose por encima de los 22.000 euros. </w:t>
      </w:r>
    </w:p>
    <w:p w:rsidR="001773EF" w:rsidRDefault="00134EBA" w:rsidP="00384960">
      <w:pPr>
        <w:jc w:val="both"/>
      </w:pPr>
      <w:r>
        <w:t xml:space="preserve">Por tramos de edad, los asalariados menores de 30 años y aquellos entre 30 y 39 años perciben salarios inferiores. Así, el salario bruto medio anual entre los menores de 30 años es más de un </w:t>
      </w:r>
      <w:r>
        <w:lastRenderedPageBreak/>
        <w:t xml:space="preserve">40% inferior a la media, situándose por debajo de los 10.000 euros, una cuantía que solo se supera en la provincia de Málaga. Entre las capitales de provincia, exceptuando Almería y Huelva, en el resto se supera esa cifra. Por su parte, entre 30 y 39 años, el salario es un 4% inferior a la media, </w:t>
      </w:r>
      <w:r w:rsidR="006B6E50">
        <w:t xml:space="preserve">y entre los municipios de </w:t>
      </w:r>
      <w:r w:rsidR="0083425C">
        <w:t xml:space="preserve">mayor tamaño </w:t>
      </w:r>
      <w:r w:rsidR="006B6E50">
        <w:t>Granada cuenta con un salario bruto medio anual similar a la media española.</w:t>
      </w:r>
    </w:p>
    <w:p w:rsidR="00145A4A" w:rsidRDefault="00145A4A" w:rsidP="00384960">
      <w:pPr>
        <w:jc w:val="both"/>
      </w:pPr>
    </w:p>
    <w:tbl>
      <w:tblPr>
        <w:tblW w:w="7594" w:type="dxa"/>
        <w:tblCellMar>
          <w:left w:w="70" w:type="dxa"/>
          <w:right w:w="70" w:type="dxa"/>
        </w:tblCellMar>
        <w:tblLook w:val="04A0" w:firstRow="1" w:lastRow="0" w:firstColumn="1" w:lastColumn="0" w:noHBand="0" w:noVBand="1"/>
      </w:tblPr>
      <w:tblGrid>
        <w:gridCol w:w="1256"/>
        <w:gridCol w:w="866"/>
        <w:gridCol w:w="1275"/>
        <w:gridCol w:w="709"/>
        <w:gridCol w:w="1321"/>
        <w:gridCol w:w="846"/>
        <w:gridCol w:w="1321"/>
      </w:tblGrid>
      <w:tr w:rsidR="00F66343" w:rsidRPr="00F66343" w:rsidTr="0085184B">
        <w:tc>
          <w:tcPr>
            <w:tcW w:w="7594" w:type="dxa"/>
            <w:gridSpan w:val="7"/>
            <w:tcBorders>
              <w:top w:val="single" w:sz="2" w:space="0" w:color="70AD47" w:themeColor="accent6"/>
            </w:tcBorders>
            <w:shd w:val="clear" w:color="auto" w:fill="auto"/>
            <w:noWrap/>
            <w:vAlign w:val="bottom"/>
            <w:hideMark/>
          </w:tcPr>
          <w:p w:rsidR="00F66343" w:rsidRDefault="00F66343" w:rsidP="00F66343">
            <w:pPr>
              <w:spacing w:after="0" w:line="240" w:lineRule="auto"/>
              <w:rPr>
                <w:rFonts w:ascii="Calibri" w:eastAsia="Times New Roman" w:hAnsi="Calibri" w:cs="Calibri"/>
                <w:b/>
                <w:bCs/>
                <w:color w:val="000000"/>
                <w:sz w:val="20"/>
                <w:szCs w:val="20"/>
                <w:lang w:eastAsia="es-ES"/>
              </w:rPr>
            </w:pPr>
            <w:r w:rsidRPr="00F66343">
              <w:rPr>
                <w:rFonts w:ascii="Calibri" w:eastAsia="Times New Roman" w:hAnsi="Calibri" w:cs="Calibri"/>
                <w:b/>
                <w:bCs/>
                <w:color w:val="000000"/>
                <w:sz w:val="20"/>
                <w:szCs w:val="20"/>
                <w:lang w:eastAsia="es-ES"/>
              </w:rPr>
              <w:t>Evolución de los salarios en Andalucía</w:t>
            </w:r>
          </w:p>
          <w:p w:rsidR="00F66343" w:rsidRPr="00F66343" w:rsidRDefault="00F66343" w:rsidP="00F66343">
            <w:pPr>
              <w:spacing w:after="0" w:line="240" w:lineRule="auto"/>
              <w:rPr>
                <w:rFonts w:ascii="Times New Roman" w:eastAsia="Times New Roman" w:hAnsi="Times New Roman" w:cs="Times New Roman"/>
                <w:sz w:val="20"/>
                <w:szCs w:val="20"/>
                <w:lang w:eastAsia="es-ES"/>
              </w:rPr>
            </w:pPr>
            <w:r w:rsidRPr="00F66343">
              <w:rPr>
                <w:rFonts w:ascii="Calibri" w:eastAsia="Times New Roman" w:hAnsi="Calibri" w:cs="Calibri"/>
                <w:bCs/>
                <w:color w:val="000000"/>
                <w:sz w:val="20"/>
                <w:szCs w:val="20"/>
                <w:lang w:eastAsia="es-ES"/>
              </w:rPr>
              <w:t>(Euros y %)</w:t>
            </w:r>
          </w:p>
        </w:tc>
      </w:tr>
      <w:tr w:rsidR="00F66343" w:rsidRPr="00F66343" w:rsidTr="00717B0B">
        <w:tc>
          <w:tcPr>
            <w:tcW w:w="1256" w:type="dxa"/>
            <w:shd w:val="clear" w:color="auto" w:fill="auto"/>
            <w:noWrap/>
            <w:vAlign w:val="bottom"/>
            <w:hideMark/>
          </w:tcPr>
          <w:p w:rsidR="00F66343" w:rsidRPr="00F66343" w:rsidRDefault="00F66343" w:rsidP="00F66343">
            <w:pPr>
              <w:spacing w:after="0" w:line="240" w:lineRule="auto"/>
              <w:rPr>
                <w:rFonts w:ascii="Times New Roman" w:eastAsia="Times New Roman" w:hAnsi="Times New Roman" w:cs="Times New Roman"/>
                <w:sz w:val="18"/>
                <w:szCs w:val="18"/>
                <w:lang w:eastAsia="es-ES"/>
              </w:rPr>
            </w:pPr>
          </w:p>
        </w:tc>
        <w:tc>
          <w:tcPr>
            <w:tcW w:w="2141" w:type="dxa"/>
            <w:gridSpan w:val="2"/>
            <w:shd w:val="clear" w:color="auto" w:fill="E2EFD9" w:themeFill="accent6" w:themeFillTint="33"/>
            <w:noWrap/>
            <w:vAlign w:val="bottom"/>
            <w:hideMark/>
          </w:tcPr>
          <w:p w:rsidR="00F66343" w:rsidRPr="00F66343" w:rsidRDefault="00F66343" w:rsidP="00F66343">
            <w:pPr>
              <w:spacing w:after="0" w:line="240" w:lineRule="auto"/>
              <w:jc w:val="center"/>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Total</w:t>
            </w:r>
          </w:p>
        </w:tc>
        <w:tc>
          <w:tcPr>
            <w:tcW w:w="2030" w:type="dxa"/>
            <w:gridSpan w:val="2"/>
            <w:shd w:val="clear" w:color="auto" w:fill="E2EFD9" w:themeFill="accent6" w:themeFillTint="33"/>
            <w:noWrap/>
            <w:vAlign w:val="bottom"/>
            <w:hideMark/>
          </w:tcPr>
          <w:p w:rsidR="00F66343" w:rsidRPr="00F66343" w:rsidRDefault="00F66343" w:rsidP="00F66343">
            <w:pPr>
              <w:spacing w:after="0" w:line="240" w:lineRule="auto"/>
              <w:jc w:val="center"/>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Menores 30 años</w:t>
            </w:r>
          </w:p>
        </w:tc>
        <w:tc>
          <w:tcPr>
            <w:tcW w:w="2167" w:type="dxa"/>
            <w:gridSpan w:val="2"/>
            <w:shd w:val="clear" w:color="auto" w:fill="E2EFD9" w:themeFill="accent6" w:themeFillTint="33"/>
            <w:noWrap/>
            <w:vAlign w:val="bottom"/>
            <w:hideMark/>
          </w:tcPr>
          <w:p w:rsidR="00F66343" w:rsidRPr="00F66343" w:rsidRDefault="00F66343" w:rsidP="00F66343">
            <w:pPr>
              <w:spacing w:after="0" w:line="240" w:lineRule="auto"/>
              <w:jc w:val="center"/>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30-39 años</w:t>
            </w:r>
          </w:p>
        </w:tc>
      </w:tr>
      <w:tr w:rsidR="00F66343" w:rsidRPr="00F66343" w:rsidTr="00717B0B">
        <w:tc>
          <w:tcPr>
            <w:tcW w:w="1256" w:type="dxa"/>
            <w:shd w:val="clear" w:color="auto" w:fill="auto"/>
            <w:noWrap/>
            <w:vAlign w:val="bottom"/>
            <w:hideMark/>
          </w:tcPr>
          <w:p w:rsidR="00F66343" w:rsidRPr="00F66343" w:rsidRDefault="00F66343" w:rsidP="00F66343">
            <w:pPr>
              <w:spacing w:after="0" w:line="240" w:lineRule="auto"/>
              <w:jc w:val="center"/>
              <w:rPr>
                <w:rFonts w:ascii="Calibri" w:eastAsia="Times New Roman" w:hAnsi="Calibri" w:cs="Calibri"/>
                <w:b/>
                <w:bCs/>
                <w:color w:val="000000"/>
                <w:sz w:val="18"/>
                <w:szCs w:val="18"/>
                <w:lang w:eastAsia="es-ES"/>
              </w:rPr>
            </w:pPr>
          </w:p>
        </w:tc>
        <w:tc>
          <w:tcPr>
            <w:tcW w:w="866" w:type="dxa"/>
            <w:shd w:val="clear" w:color="auto" w:fill="E2EFD9" w:themeFill="accent6" w:themeFillTint="33"/>
            <w:noWrap/>
            <w:vAlign w:val="bottom"/>
            <w:hideMark/>
          </w:tcPr>
          <w:p w:rsidR="00F66343" w:rsidRPr="00F66343" w:rsidRDefault="00F66343" w:rsidP="00F66343">
            <w:pPr>
              <w:spacing w:after="0" w:line="240" w:lineRule="auto"/>
              <w:jc w:val="right"/>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2022</w:t>
            </w:r>
          </w:p>
        </w:tc>
        <w:tc>
          <w:tcPr>
            <w:tcW w:w="1275" w:type="dxa"/>
            <w:shd w:val="clear" w:color="auto" w:fill="E2EFD9" w:themeFill="accent6" w:themeFillTint="33"/>
            <w:noWrap/>
            <w:vAlign w:val="bottom"/>
            <w:hideMark/>
          </w:tcPr>
          <w:p w:rsidR="00F66343" w:rsidRDefault="00F66343" w:rsidP="00F66343">
            <w:pPr>
              <w:spacing w:after="0" w:line="240" w:lineRule="auto"/>
              <w:jc w:val="right"/>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Var.</w:t>
            </w:r>
          </w:p>
          <w:p w:rsidR="00F66343" w:rsidRPr="00F66343" w:rsidRDefault="00F66343" w:rsidP="00F66343">
            <w:pPr>
              <w:spacing w:after="0" w:line="240" w:lineRule="auto"/>
              <w:jc w:val="right"/>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2022/2017 (%)</w:t>
            </w:r>
          </w:p>
        </w:tc>
        <w:tc>
          <w:tcPr>
            <w:tcW w:w="709" w:type="dxa"/>
            <w:shd w:val="clear" w:color="auto" w:fill="E2EFD9" w:themeFill="accent6" w:themeFillTint="33"/>
            <w:noWrap/>
            <w:vAlign w:val="bottom"/>
            <w:hideMark/>
          </w:tcPr>
          <w:p w:rsidR="00F66343" w:rsidRPr="00F66343" w:rsidRDefault="00F66343" w:rsidP="00F66343">
            <w:pPr>
              <w:spacing w:after="0" w:line="240" w:lineRule="auto"/>
              <w:jc w:val="right"/>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2022</w:t>
            </w:r>
          </w:p>
        </w:tc>
        <w:tc>
          <w:tcPr>
            <w:tcW w:w="1321" w:type="dxa"/>
            <w:shd w:val="clear" w:color="auto" w:fill="E2EFD9" w:themeFill="accent6" w:themeFillTint="33"/>
            <w:noWrap/>
            <w:vAlign w:val="bottom"/>
            <w:hideMark/>
          </w:tcPr>
          <w:p w:rsidR="00F66343" w:rsidRDefault="00F66343" w:rsidP="00F66343">
            <w:pPr>
              <w:spacing w:after="0" w:line="240" w:lineRule="auto"/>
              <w:jc w:val="right"/>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Var.</w:t>
            </w:r>
          </w:p>
          <w:p w:rsidR="00F66343" w:rsidRPr="00F66343" w:rsidRDefault="00F66343" w:rsidP="00F66343">
            <w:pPr>
              <w:spacing w:after="0" w:line="240" w:lineRule="auto"/>
              <w:jc w:val="right"/>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2022/2017 (%)</w:t>
            </w:r>
          </w:p>
        </w:tc>
        <w:tc>
          <w:tcPr>
            <w:tcW w:w="846" w:type="dxa"/>
            <w:shd w:val="clear" w:color="auto" w:fill="E2EFD9" w:themeFill="accent6" w:themeFillTint="33"/>
            <w:noWrap/>
            <w:vAlign w:val="bottom"/>
            <w:hideMark/>
          </w:tcPr>
          <w:p w:rsidR="00F66343" w:rsidRPr="00F66343" w:rsidRDefault="00F66343" w:rsidP="00F66343">
            <w:pPr>
              <w:spacing w:after="0" w:line="240" w:lineRule="auto"/>
              <w:jc w:val="right"/>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2022</w:t>
            </w:r>
          </w:p>
        </w:tc>
        <w:tc>
          <w:tcPr>
            <w:tcW w:w="1321" w:type="dxa"/>
            <w:shd w:val="clear" w:color="auto" w:fill="E2EFD9" w:themeFill="accent6" w:themeFillTint="33"/>
            <w:noWrap/>
            <w:vAlign w:val="bottom"/>
            <w:hideMark/>
          </w:tcPr>
          <w:p w:rsidR="00F66343" w:rsidRDefault="00F66343" w:rsidP="00F66343">
            <w:pPr>
              <w:spacing w:after="0" w:line="240" w:lineRule="auto"/>
              <w:jc w:val="right"/>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Var.</w:t>
            </w:r>
          </w:p>
          <w:p w:rsidR="00F66343" w:rsidRPr="00F66343" w:rsidRDefault="00F66343" w:rsidP="00F66343">
            <w:pPr>
              <w:spacing w:after="0" w:line="240" w:lineRule="auto"/>
              <w:jc w:val="right"/>
              <w:rPr>
                <w:rFonts w:ascii="Calibri" w:eastAsia="Times New Roman" w:hAnsi="Calibri" w:cs="Calibri"/>
                <w:b/>
                <w:bCs/>
                <w:color w:val="000000"/>
                <w:sz w:val="18"/>
                <w:szCs w:val="18"/>
                <w:lang w:eastAsia="es-ES"/>
              </w:rPr>
            </w:pPr>
            <w:r w:rsidRPr="00F66343">
              <w:rPr>
                <w:rFonts w:ascii="Calibri" w:eastAsia="Times New Roman" w:hAnsi="Calibri" w:cs="Calibri"/>
                <w:b/>
                <w:bCs/>
                <w:color w:val="000000"/>
                <w:sz w:val="18"/>
                <w:szCs w:val="18"/>
                <w:lang w:eastAsia="es-ES"/>
              </w:rPr>
              <w:t>2022/2017 (%)</w:t>
            </w:r>
          </w:p>
        </w:tc>
      </w:tr>
      <w:tr w:rsidR="00F66343" w:rsidRPr="00F66343" w:rsidTr="007F0F03">
        <w:tc>
          <w:tcPr>
            <w:tcW w:w="2122" w:type="dxa"/>
            <w:gridSpan w:val="2"/>
            <w:shd w:val="clear" w:color="auto" w:fill="FFFFFF" w:themeFill="background1"/>
            <w:noWrap/>
            <w:vAlign w:val="bottom"/>
            <w:hideMark/>
          </w:tcPr>
          <w:p w:rsidR="00F66343" w:rsidRPr="00F66343" w:rsidRDefault="00F66343" w:rsidP="00F66343">
            <w:pPr>
              <w:spacing w:after="0" w:line="240" w:lineRule="auto"/>
              <w:rPr>
                <w:rFonts w:ascii="Calibri" w:eastAsia="Times New Roman" w:hAnsi="Calibri" w:cs="Calibri"/>
                <w:b/>
                <w:bCs/>
                <w:color w:val="000000"/>
                <w:sz w:val="16"/>
                <w:szCs w:val="16"/>
                <w:lang w:eastAsia="es-ES"/>
              </w:rPr>
            </w:pPr>
            <w:r w:rsidRPr="00F66343">
              <w:rPr>
                <w:rFonts w:ascii="Calibri" w:eastAsia="Times New Roman" w:hAnsi="Calibri" w:cs="Calibri"/>
                <w:b/>
                <w:bCs/>
                <w:color w:val="000000"/>
                <w:sz w:val="16"/>
                <w:szCs w:val="16"/>
                <w:lang w:eastAsia="es-ES"/>
              </w:rPr>
              <w:t>SALARIO BRUTO ANUAL</w:t>
            </w:r>
          </w:p>
        </w:tc>
        <w:tc>
          <w:tcPr>
            <w:tcW w:w="1275" w:type="dxa"/>
            <w:shd w:val="clear" w:color="auto" w:fill="auto"/>
            <w:noWrap/>
            <w:vAlign w:val="bottom"/>
            <w:hideMark/>
          </w:tcPr>
          <w:p w:rsidR="00F66343" w:rsidRPr="00F66343" w:rsidRDefault="00F66343" w:rsidP="00F66343">
            <w:pPr>
              <w:spacing w:after="0" w:line="240" w:lineRule="auto"/>
              <w:rPr>
                <w:rFonts w:ascii="Calibri" w:eastAsia="Times New Roman" w:hAnsi="Calibri" w:cs="Calibri"/>
                <w:b/>
                <w:bCs/>
                <w:color w:val="000000"/>
                <w:sz w:val="16"/>
                <w:szCs w:val="16"/>
                <w:lang w:eastAsia="es-ES"/>
              </w:rPr>
            </w:pPr>
          </w:p>
        </w:tc>
        <w:tc>
          <w:tcPr>
            <w:tcW w:w="709" w:type="dxa"/>
            <w:shd w:val="clear" w:color="auto" w:fill="auto"/>
            <w:noWrap/>
            <w:vAlign w:val="bottom"/>
            <w:hideMark/>
          </w:tcPr>
          <w:p w:rsidR="00F66343" w:rsidRPr="00F66343" w:rsidRDefault="00F66343" w:rsidP="00F66343">
            <w:pPr>
              <w:spacing w:after="0" w:line="240" w:lineRule="auto"/>
              <w:rPr>
                <w:rFonts w:ascii="Times New Roman" w:eastAsia="Times New Roman" w:hAnsi="Times New Roman" w:cs="Times New Roman"/>
                <w:sz w:val="16"/>
                <w:szCs w:val="16"/>
                <w:lang w:eastAsia="es-ES"/>
              </w:rPr>
            </w:pPr>
          </w:p>
        </w:tc>
        <w:tc>
          <w:tcPr>
            <w:tcW w:w="1321" w:type="dxa"/>
            <w:shd w:val="clear" w:color="auto" w:fill="auto"/>
            <w:noWrap/>
            <w:vAlign w:val="bottom"/>
            <w:hideMark/>
          </w:tcPr>
          <w:p w:rsidR="00F66343" w:rsidRPr="00F66343" w:rsidRDefault="00F66343" w:rsidP="00F66343">
            <w:pPr>
              <w:spacing w:after="0" w:line="240" w:lineRule="auto"/>
              <w:rPr>
                <w:rFonts w:ascii="Times New Roman" w:eastAsia="Times New Roman" w:hAnsi="Times New Roman" w:cs="Times New Roman"/>
                <w:sz w:val="16"/>
                <w:szCs w:val="16"/>
                <w:lang w:eastAsia="es-ES"/>
              </w:rPr>
            </w:pPr>
          </w:p>
        </w:tc>
        <w:tc>
          <w:tcPr>
            <w:tcW w:w="846" w:type="dxa"/>
            <w:shd w:val="clear" w:color="auto" w:fill="auto"/>
            <w:noWrap/>
            <w:vAlign w:val="bottom"/>
            <w:hideMark/>
          </w:tcPr>
          <w:p w:rsidR="00F66343" w:rsidRPr="00F66343" w:rsidRDefault="00F66343" w:rsidP="00F66343">
            <w:pPr>
              <w:spacing w:after="0" w:line="240" w:lineRule="auto"/>
              <w:rPr>
                <w:rFonts w:ascii="Times New Roman" w:eastAsia="Times New Roman" w:hAnsi="Times New Roman" w:cs="Times New Roman"/>
                <w:sz w:val="16"/>
                <w:szCs w:val="16"/>
                <w:lang w:eastAsia="es-ES"/>
              </w:rPr>
            </w:pPr>
          </w:p>
        </w:tc>
        <w:tc>
          <w:tcPr>
            <w:tcW w:w="1321" w:type="dxa"/>
            <w:shd w:val="clear" w:color="auto" w:fill="auto"/>
            <w:noWrap/>
            <w:vAlign w:val="bottom"/>
            <w:hideMark/>
          </w:tcPr>
          <w:p w:rsidR="00F66343" w:rsidRPr="00F66343" w:rsidRDefault="00F66343" w:rsidP="00F66343">
            <w:pPr>
              <w:spacing w:after="0" w:line="240" w:lineRule="auto"/>
              <w:rPr>
                <w:rFonts w:ascii="Times New Roman" w:eastAsia="Times New Roman" w:hAnsi="Times New Roman" w:cs="Times New Roman"/>
                <w:sz w:val="16"/>
                <w:szCs w:val="16"/>
                <w:lang w:eastAsia="es-ES"/>
              </w:rPr>
            </w:pP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Almería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15.957</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23,5</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9.907</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34,8</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15.257</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25,2</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Cádiz</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17.804</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20,7</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9.451</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34,0</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16.426</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22,3</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Córdoba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16.365</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26,5</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9.730</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33,2</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16.701</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31,4</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Granada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17.373</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23,6</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9.553</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34,4</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16.728</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26,2</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Huelva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14.811</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23,3</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8.427</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34,6</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14.311</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23,3</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Jaén</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15.205</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27,0</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9.841</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41,6</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15.310</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25,9</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Málaga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18.280</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22,0</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10.232</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30,7</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17.840</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23,2</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Sevilla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18.259</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20,4</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9.346</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34,4</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17.084</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24,0</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ANDALUCÍA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17.233</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22,7</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9.617</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34,3</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16.543</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24,6</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ESPAÑA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21.681</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17,8</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11.771</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26,7</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21.153</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19,9</w:t>
            </w:r>
          </w:p>
        </w:tc>
      </w:tr>
      <w:tr w:rsidR="00F66343" w:rsidRPr="00F66343" w:rsidTr="007F0F03">
        <w:tc>
          <w:tcPr>
            <w:tcW w:w="4106" w:type="dxa"/>
            <w:gridSpan w:val="4"/>
            <w:shd w:val="clear" w:color="auto" w:fill="FFFFFF" w:themeFill="background1"/>
            <w:noWrap/>
            <w:vAlign w:val="bottom"/>
            <w:hideMark/>
          </w:tcPr>
          <w:p w:rsidR="00F66343" w:rsidRPr="00F66343" w:rsidRDefault="00F66343" w:rsidP="00F66343">
            <w:pPr>
              <w:spacing w:after="0" w:line="240" w:lineRule="auto"/>
              <w:rPr>
                <w:rFonts w:ascii="Calibri" w:eastAsia="Times New Roman" w:hAnsi="Calibri" w:cs="Calibri"/>
                <w:b/>
                <w:bCs/>
                <w:color w:val="000000"/>
                <w:sz w:val="16"/>
                <w:szCs w:val="16"/>
                <w:lang w:eastAsia="es-ES"/>
              </w:rPr>
            </w:pPr>
            <w:r w:rsidRPr="00F66343">
              <w:rPr>
                <w:rFonts w:ascii="Calibri" w:eastAsia="Times New Roman" w:hAnsi="Calibri" w:cs="Calibri"/>
                <w:b/>
                <w:bCs/>
                <w:color w:val="000000"/>
                <w:sz w:val="16"/>
                <w:szCs w:val="16"/>
                <w:lang w:eastAsia="es-ES"/>
              </w:rPr>
              <w:t>SALARIO EQUIVALENTE ANUAL A TIEMPO COMPLETO</w:t>
            </w:r>
          </w:p>
        </w:tc>
        <w:tc>
          <w:tcPr>
            <w:tcW w:w="1321" w:type="dxa"/>
            <w:shd w:val="clear" w:color="auto" w:fill="auto"/>
            <w:noWrap/>
            <w:vAlign w:val="bottom"/>
            <w:hideMark/>
          </w:tcPr>
          <w:p w:rsidR="00F66343" w:rsidRPr="00F66343" w:rsidRDefault="00F66343" w:rsidP="00F66343">
            <w:pPr>
              <w:spacing w:after="0" w:line="240" w:lineRule="auto"/>
              <w:rPr>
                <w:rFonts w:ascii="Calibri" w:eastAsia="Times New Roman" w:hAnsi="Calibri" w:cs="Calibri"/>
                <w:b/>
                <w:bCs/>
                <w:color w:val="000000"/>
                <w:sz w:val="16"/>
                <w:szCs w:val="16"/>
                <w:lang w:eastAsia="es-ES"/>
              </w:rPr>
            </w:pPr>
          </w:p>
        </w:tc>
        <w:tc>
          <w:tcPr>
            <w:tcW w:w="846" w:type="dxa"/>
            <w:shd w:val="clear" w:color="auto" w:fill="auto"/>
            <w:noWrap/>
            <w:vAlign w:val="bottom"/>
            <w:hideMark/>
          </w:tcPr>
          <w:p w:rsidR="00F66343" w:rsidRPr="00F66343" w:rsidRDefault="00F66343" w:rsidP="00F66343">
            <w:pPr>
              <w:spacing w:after="0" w:line="240" w:lineRule="auto"/>
              <w:rPr>
                <w:rFonts w:ascii="Times New Roman" w:eastAsia="Times New Roman" w:hAnsi="Times New Roman" w:cs="Times New Roman"/>
                <w:sz w:val="16"/>
                <w:szCs w:val="16"/>
                <w:lang w:eastAsia="es-ES"/>
              </w:rPr>
            </w:pPr>
          </w:p>
        </w:tc>
        <w:tc>
          <w:tcPr>
            <w:tcW w:w="1321" w:type="dxa"/>
            <w:shd w:val="clear" w:color="auto" w:fill="auto"/>
            <w:noWrap/>
            <w:vAlign w:val="bottom"/>
            <w:hideMark/>
          </w:tcPr>
          <w:p w:rsidR="00F66343" w:rsidRPr="00F66343" w:rsidRDefault="00F66343" w:rsidP="00F66343">
            <w:pPr>
              <w:spacing w:after="0" w:line="240" w:lineRule="auto"/>
              <w:rPr>
                <w:rFonts w:ascii="Times New Roman" w:eastAsia="Times New Roman" w:hAnsi="Times New Roman" w:cs="Times New Roman"/>
                <w:sz w:val="16"/>
                <w:szCs w:val="16"/>
                <w:lang w:eastAsia="es-ES"/>
              </w:rPr>
            </w:pP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Almería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21.828</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15,7</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18.781</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18,6</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20.858</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17,0</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Cádiz</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24.741</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13,7</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20.374</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19,2</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22.994</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12,3</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Córdoba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23.447</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17,7</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19.965</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20,5</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22.623</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19,1</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Granada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24.386</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15,8</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20.166</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19,3</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23.235</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16,2</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Huelva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22.092</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16,8</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18.651</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19,1</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21.234</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17,4</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Jaén</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22.530</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18,2</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19.635</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21,1</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21.752</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17,0</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Málaga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24.812</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15,4</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20.394</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18,7</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24.032</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16,9</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Sevilla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24.604</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14,4</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19.634</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20,2</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22.888</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15,4</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ANDALUCÍA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23.932</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15,6</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19.815</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19,6</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22.726</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b/>
                <w:bCs/>
                <w:i/>
                <w:iCs/>
                <w:color w:val="000000"/>
                <w:sz w:val="16"/>
                <w:szCs w:val="16"/>
                <w:lang w:eastAsia="es-ES"/>
              </w:rPr>
            </w:pPr>
            <w:r w:rsidRPr="00F66343">
              <w:rPr>
                <w:rFonts w:ascii="Calibri" w:eastAsia="Times New Roman" w:hAnsi="Calibri" w:cs="Calibri"/>
                <w:b/>
                <w:bCs/>
                <w:i/>
                <w:iCs/>
                <w:color w:val="000000"/>
                <w:sz w:val="16"/>
                <w:szCs w:val="16"/>
                <w:lang w:eastAsia="es-ES"/>
              </w:rPr>
              <w:t>16,0</w:t>
            </w:r>
          </w:p>
        </w:tc>
      </w:tr>
      <w:tr w:rsidR="00F66343" w:rsidRPr="00F66343" w:rsidTr="007F0F03">
        <w:tc>
          <w:tcPr>
            <w:tcW w:w="1256" w:type="dxa"/>
            <w:shd w:val="clear" w:color="auto" w:fill="E2EFD9" w:themeFill="accent6" w:themeFillTint="33"/>
            <w:noWrap/>
            <w:vAlign w:val="bottom"/>
            <w:hideMark/>
          </w:tcPr>
          <w:p w:rsidR="00F66343" w:rsidRPr="00F66343" w:rsidRDefault="00F66343" w:rsidP="00F66343">
            <w:pPr>
              <w:spacing w:after="0" w:line="240" w:lineRule="auto"/>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ESPAÑA</w:t>
            </w:r>
          </w:p>
        </w:tc>
        <w:tc>
          <w:tcPr>
            <w:tcW w:w="86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27.289</w:t>
            </w:r>
          </w:p>
        </w:tc>
        <w:tc>
          <w:tcPr>
            <w:tcW w:w="1275"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13,9</w:t>
            </w:r>
          </w:p>
        </w:tc>
        <w:tc>
          <w:tcPr>
            <w:tcW w:w="709"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21.459</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17,1</w:t>
            </w:r>
          </w:p>
        </w:tc>
        <w:tc>
          <w:tcPr>
            <w:tcW w:w="846"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26.348</w:t>
            </w:r>
          </w:p>
        </w:tc>
        <w:tc>
          <w:tcPr>
            <w:tcW w:w="1321" w:type="dxa"/>
            <w:shd w:val="clear" w:color="auto" w:fill="auto"/>
            <w:noWrap/>
            <w:vAlign w:val="bottom"/>
            <w:hideMark/>
          </w:tcPr>
          <w:p w:rsidR="00F66343" w:rsidRPr="00F66343" w:rsidRDefault="00F66343" w:rsidP="00F66343">
            <w:pPr>
              <w:spacing w:after="0" w:line="240" w:lineRule="auto"/>
              <w:jc w:val="right"/>
              <w:rPr>
                <w:rFonts w:ascii="Calibri" w:eastAsia="Times New Roman" w:hAnsi="Calibri" w:cs="Calibri"/>
                <w:i/>
                <w:iCs/>
                <w:color w:val="000000"/>
                <w:sz w:val="16"/>
                <w:szCs w:val="16"/>
                <w:lang w:eastAsia="es-ES"/>
              </w:rPr>
            </w:pPr>
            <w:r w:rsidRPr="00F66343">
              <w:rPr>
                <w:rFonts w:ascii="Calibri" w:eastAsia="Times New Roman" w:hAnsi="Calibri" w:cs="Calibri"/>
                <w:i/>
                <w:iCs/>
                <w:color w:val="000000"/>
                <w:sz w:val="16"/>
                <w:szCs w:val="16"/>
                <w:lang w:eastAsia="es-ES"/>
              </w:rPr>
              <w:t>15,8</w:t>
            </w:r>
          </w:p>
        </w:tc>
      </w:tr>
      <w:tr w:rsidR="00F66343" w:rsidRPr="00F66343" w:rsidTr="0085184B">
        <w:tc>
          <w:tcPr>
            <w:tcW w:w="7594" w:type="dxa"/>
            <w:gridSpan w:val="7"/>
            <w:tcBorders>
              <w:bottom w:val="single" w:sz="2" w:space="0" w:color="70AD47" w:themeColor="accent6"/>
            </w:tcBorders>
            <w:shd w:val="clear" w:color="auto" w:fill="auto"/>
            <w:noWrap/>
            <w:vAlign w:val="bottom"/>
            <w:hideMark/>
          </w:tcPr>
          <w:p w:rsidR="00F66343" w:rsidRPr="00F66343" w:rsidRDefault="00F66343" w:rsidP="00F66343">
            <w:pPr>
              <w:spacing w:after="0" w:line="240" w:lineRule="auto"/>
              <w:rPr>
                <w:rFonts w:ascii="Calibri" w:eastAsia="Times New Roman" w:hAnsi="Calibri" w:cs="Calibri"/>
                <w:color w:val="000000"/>
                <w:sz w:val="16"/>
                <w:szCs w:val="16"/>
                <w:lang w:eastAsia="es-ES"/>
              </w:rPr>
            </w:pPr>
            <w:r w:rsidRPr="00F66343">
              <w:rPr>
                <w:rFonts w:ascii="Calibri" w:eastAsia="Times New Roman" w:hAnsi="Calibri" w:cs="Calibri"/>
                <w:color w:val="000000"/>
                <w:sz w:val="16"/>
                <w:szCs w:val="16"/>
                <w:lang w:eastAsia="es-ES"/>
              </w:rPr>
              <w:t xml:space="preserve">Fuente: </w:t>
            </w:r>
            <w:r w:rsidRPr="0083425C">
              <w:rPr>
                <w:rFonts w:ascii="Calibri" w:eastAsia="Times New Roman" w:hAnsi="Calibri" w:cs="Calibri"/>
                <w:i/>
                <w:color w:val="000000"/>
                <w:sz w:val="16"/>
                <w:szCs w:val="16"/>
                <w:lang w:eastAsia="es-ES"/>
              </w:rPr>
              <w:t>Analistas Económicos de Andalucía</w:t>
            </w:r>
            <w:r w:rsidRPr="00F66343">
              <w:rPr>
                <w:rFonts w:ascii="Calibri" w:eastAsia="Times New Roman" w:hAnsi="Calibri" w:cs="Calibri"/>
                <w:color w:val="000000"/>
                <w:sz w:val="16"/>
                <w:szCs w:val="16"/>
                <w:lang w:eastAsia="es-ES"/>
              </w:rPr>
              <w:t xml:space="preserve"> a partir de la estadística "Los salarios en Andalucía" del IECA.</w:t>
            </w:r>
          </w:p>
        </w:tc>
      </w:tr>
    </w:tbl>
    <w:p w:rsidR="000F7B19" w:rsidRDefault="000F7B19">
      <w:pPr>
        <w:rPr>
          <w:b/>
        </w:rPr>
      </w:pPr>
    </w:p>
    <w:p w:rsidR="003F1283" w:rsidRPr="003F1283" w:rsidRDefault="003F1283">
      <w:pPr>
        <w:rPr>
          <w:b/>
        </w:rPr>
      </w:pPr>
      <w:r w:rsidRPr="003F1283">
        <w:rPr>
          <w:b/>
        </w:rPr>
        <w:t xml:space="preserve">I.1.4. </w:t>
      </w:r>
      <w:r w:rsidR="00AC6959">
        <w:rPr>
          <w:b/>
        </w:rPr>
        <w:t>Financiación y a</w:t>
      </w:r>
      <w:r w:rsidRPr="003F1283">
        <w:rPr>
          <w:b/>
        </w:rPr>
        <w:t>cces</w:t>
      </w:r>
      <w:r w:rsidR="00AC6959">
        <w:rPr>
          <w:b/>
        </w:rPr>
        <w:t>o</w:t>
      </w:r>
      <w:r w:rsidRPr="003F1283">
        <w:rPr>
          <w:b/>
        </w:rPr>
        <w:t xml:space="preserve"> a la vivienda en Andalucía</w:t>
      </w:r>
    </w:p>
    <w:p w:rsidR="009347D1" w:rsidRDefault="009D2E12" w:rsidP="009D2E12">
      <w:pPr>
        <w:jc w:val="both"/>
      </w:pPr>
      <w:r>
        <w:t>Según las estadísticas del Banco de España, el saldo vivo de los créditos para adquisición de vivienda se situó en 480.039 millones de euros en el tercer trimestre de 2023 (últimos datos disponibles), lo que supone la cuantía más baja desde med</w:t>
      </w:r>
      <w:r w:rsidR="00691FB2">
        <w:t>iados de 2006. Este saldo es alrededor de un 3% inferior al del mismo trimestre de 2022 y supone una reducción de casi un 25% con relación al valor máximo de finales de 2010, cuando el crédito superó</w:t>
      </w:r>
      <w:r w:rsidR="009347D1">
        <w:t xml:space="preserve"> los 632.000 millones de euros.</w:t>
      </w:r>
    </w:p>
    <w:p w:rsidR="003F1283" w:rsidRDefault="00384235" w:rsidP="00A43F20">
      <w:pPr>
        <w:jc w:val="both"/>
      </w:pPr>
      <w:r>
        <w:t xml:space="preserve">Por su parte, el saldo del crédito para rehabilitación de vivienda se ha reducido prácticamente a la mitad desde mediados de 2009, cuando superó los 30.000 millones de euros, situándose en el tercer trimestre del pasado año en 15.693 millones de euros, </w:t>
      </w:r>
      <w:r w:rsidR="009347D1">
        <w:t>un 5,5% por debajo del nivel de un año antes.</w:t>
      </w:r>
      <w:r w:rsidR="000F5444">
        <w:t xml:space="preserve"> </w:t>
      </w:r>
      <w:r w:rsidR="00E83073">
        <w:t>En conjunto, el saldo de los créditos para adquisición de vivienda y rehabilitación es cercano a los 496.000 millones, en torno al 42% del crédito total al sector privado.</w:t>
      </w:r>
    </w:p>
    <w:p w:rsidR="00E053E5" w:rsidRDefault="0094690A" w:rsidP="00A43F20">
      <w:pPr>
        <w:jc w:val="both"/>
      </w:pPr>
      <w:r>
        <w:t>Asimismo, el saldo de los créditos destinados a la construcción y la actividad inmobiliaria se situó, al tercer trimestre de 2023, en 95.977 millones de euros</w:t>
      </w:r>
      <w:r w:rsidR="00FB7FDD">
        <w:t xml:space="preserve"> (-7,4% respecto al año anterior)</w:t>
      </w:r>
      <w:r>
        <w:t xml:space="preserve">, lo que representa alrededor del </w:t>
      </w:r>
      <w:r w:rsidR="000F5444">
        <w:t>8</w:t>
      </w:r>
      <w:r>
        <w:t>% d</w:t>
      </w:r>
      <w:r w:rsidR="000F5444">
        <w:t>e los créditos al sector privado y el 18% de los destinados a la</w:t>
      </w:r>
      <w:r>
        <w:t xml:space="preserve"> financiación de actividades productivas</w:t>
      </w:r>
      <w:r w:rsidR="000F5444">
        <w:t>. Este saldo e</w:t>
      </w:r>
      <w:r w:rsidR="00A43F20">
        <w:t xml:space="preserve">s alrededor de una quinta parte del existente a mediados de 2008, cuando el crédito a estas </w:t>
      </w:r>
      <w:r w:rsidR="000F5444">
        <w:t xml:space="preserve">actividades llegó a representar </w:t>
      </w:r>
      <w:r w:rsidR="00A43F20">
        <w:t>casi la mitad del crédito a</w:t>
      </w:r>
      <w:r w:rsidR="000F5444">
        <w:t xml:space="preserve"> las actividades productivas y </w:t>
      </w:r>
      <w:r w:rsidR="00E0678E">
        <w:t>una cuarta parte del crédito al sector privado.</w:t>
      </w:r>
      <w:r w:rsidR="0029747A">
        <w:t xml:space="preserve"> </w:t>
      </w:r>
    </w:p>
    <w:p w:rsidR="00364D0C" w:rsidRPr="00931D48" w:rsidRDefault="0029747A">
      <w:r w:rsidRPr="0029747A">
        <w:rPr>
          <w:noProof/>
          <w:lang w:eastAsia="es-ES"/>
        </w:rPr>
        <w:lastRenderedPageBreak/>
        <w:drawing>
          <wp:inline distT="0" distB="0" distL="0" distR="0">
            <wp:extent cx="5400040" cy="303467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684497" w:rsidRPr="00684497" w:rsidRDefault="00414C68" w:rsidP="00414C68">
      <w:pPr>
        <w:jc w:val="both"/>
      </w:pPr>
      <w:r>
        <w:t>A falta de los datos del mes de diciembre para cerrar el año, el número de hipotecas sobre vivienda</w:t>
      </w:r>
      <w:r w:rsidR="00F9411E">
        <w:t>s</w:t>
      </w:r>
      <w:r>
        <w:t xml:space="preserve"> en Espa</w:t>
      </w:r>
      <w:r w:rsidR="002D0D38">
        <w:t xml:space="preserve">ña </w:t>
      </w:r>
      <w:r w:rsidR="00F9411E">
        <w:t>inscrit</w:t>
      </w:r>
      <w:r w:rsidR="0029747A">
        <w:t>a</w:t>
      </w:r>
      <w:r w:rsidR="00F9411E">
        <w:t xml:space="preserve">s en los registros de la propiedad </w:t>
      </w:r>
      <w:r w:rsidR="002D0D38">
        <w:t>se ha situado en 356.633, lo que supone un descenso con relación a los dos años anteriores</w:t>
      </w:r>
      <w:r w:rsidR="00530206">
        <w:t xml:space="preserve">, generalizado </w:t>
      </w:r>
      <w:r w:rsidR="0029747A">
        <w:t>por</w:t>
      </w:r>
      <w:r w:rsidR="00530206">
        <w:t xml:space="preserve"> comunidades autónomas</w:t>
      </w:r>
      <w:r w:rsidR="002D0D38">
        <w:t xml:space="preserve">. En concreto, las hipotecas han disminuido casi un 18% con relación a las constituidas entre enero y noviembre de 2022, en un contexto de subidas de tipos de interés. </w:t>
      </w:r>
      <w:r w:rsidR="0029747A">
        <w:t>D</w:t>
      </w:r>
      <w:r w:rsidR="002D0D38">
        <w:t>esde mediados de 2022 hasta septiembre de 2023, el tipo de interés de referencia en la Zona Euro ha aumentado en 4,5 p.p.</w:t>
      </w:r>
    </w:p>
    <w:p w:rsidR="00684497" w:rsidRDefault="00DC79DF" w:rsidP="00414C68">
      <w:pPr>
        <w:jc w:val="both"/>
      </w:pPr>
      <w:r>
        <w:t xml:space="preserve">Andalucía es la comunidad autónoma </w:t>
      </w:r>
      <w:r w:rsidR="006C2359">
        <w:t xml:space="preserve">donde se han constituido más hipotecas sobre viviendas, con alrededor de una quinta parte del total nacional, registrándose entre enero y noviembre de 2023 un total de 73.305 hipotecas, un 13,2% menos que en el mismo periodo de 2022. Este descenso es algo más moderado que el registrado en las otras comunidades con mayor número de hipotecas (Cataluña, Madrid y Comunidad Valenciana), en las que el descenso se ha situado entre el 18-23%. </w:t>
      </w:r>
      <w:r w:rsidR="00D943CC">
        <w:t xml:space="preserve">Con excepción de los años 2021 y 2022, el número de hipotecas sería el más alto desde el año 2010. </w:t>
      </w:r>
    </w:p>
    <w:p w:rsidR="00530206" w:rsidRDefault="00530206" w:rsidP="00414C68">
      <w:pPr>
        <w:jc w:val="both"/>
      </w:pPr>
      <w:r>
        <w:t xml:space="preserve">Casi la mitad de las hipotecas constituidas en Andalucía entre enero y noviembre de 2023 se localizan en Málaga y Sevilla (18.535 y 16.851, respectivamente), </w:t>
      </w:r>
      <w:r w:rsidR="00537184">
        <w:t xml:space="preserve">y </w:t>
      </w:r>
      <w:r w:rsidR="00B64FED">
        <w:t xml:space="preserve">casi un 15% </w:t>
      </w:r>
      <w:r w:rsidR="00537184">
        <w:t>en Cádiz</w:t>
      </w:r>
      <w:r w:rsidR="00B64FED">
        <w:t xml:space="preserve"> (10.636 hipotecas)</w:t>
      </w:r>
      <w:r w:rsidR="00537184">
        <w:t>, mientras que en Jaén se constituye algo menos del 5%.</w:t>
      </w:r>
      <w:r w:rsidR="00B64FED">
        <w:t xml:space="preserve"> </w:t>
      </w:r>
      <w:r w:rsidR="004D67CB">
        <w:t>Con relación a 2022, el descenso es generalizado, oscilando entre el 10% de Jaén y el 14,4</w:t>
      </w:r>
      <w:r w:rsidR="0029747A">
        <w:t>%</w:t>
      </w:r>
      <w:r w:rsidR="004D67CB">
        <w:t xml:space="preserve"> de Cádiz.</w:t>
      </w:r>
    </w:p>
    <w:p w:rsidR="006C2359" w:rsidRPr="00684497" w:rsidRDefault="0029747A" w:rsidP="00414C68">
      <w:pPr>
        <w:jc w:val="both"/>
      </w:pPr>
      <w:r w:rsidRPr="0029747A">
        <w:rPr>
          <w:noProof/>
          <w:lang w:eastAsia="es-ES"/>
        </w:rPr>
        <w:lastRenderedPageBreak/>
        <w:drawing>
          <wp:inline distT="0" distB="0" distL="0" distR="0">
            <wp:extent cx="5400040" cy="303467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684497" w:rsidRDefault="005D6D25" w:rsidP="005D6D25">
      <w:pPr>
        <w:jc w:val="both"/>
      </w:pPr>
      <w:r>
        <w:t xml:space="preserve">El importe de estas hipotecas ha disminuido en el último año de forma generalizada, hasta los 9.208,8 millones de euros entre enero y noviembre en el caso de Andalucía (18,2% del total nacional). El descenso en la región ha sido algo menos acusado </w:t>
      </w:r>
      <w:r w:rsidR="005F2434">
        <w:t xml:space="preserve">(-12,4%) </w:t>
      </w:r>
      <w:r>
        <w:t>que el registrado en el número de hipotecas, al contrario de lo ocurrido en España (-19,4%), de ahí que el importe medio de las hipotecas sobre viviendas haya aumentado ligeramente en 2023, en torno a un 1%, mientras que en el conjunto de España se ha producido un descenso del 2%.</w:t>
      </w:r>
    </w:p>
    <w:p w:rsidR="009B4501" w:rsidRDefault="00E33970" w:rsidP="00E33970">
      <w:pPr>
        <w:jc w:val="both"/>
      </w:pPr>
      <w:r>
        <w:t xml:space="preserve">En concreto, el importe medio de las hipotecas sobre viviendas en Andalucía en 2023 (a falta de los datos de diciembre) </w:t>
      </w:r>
      <w:r w:rsidR="005F2434">
        <w:t xml:space="preserve">se sitúa </w:t>
      </w:r>
      <w:r>
        <w:t>en 125.623,4 euros, lo que representa alrededor de un 12% menos que el importe medio en España (142.187,0 euros). Andalucía es así la sexta comunidad autónoma por importe medio, después de Baleares, Madrid, Cataluña, País Vasco y Navarra</w:t>
      </w:r>
      <w:r w:rsidR="00631215">
        <w:t xml:space="preserve"> (</w:t>
      </w:r>
      <w:r w:rsidR="005F2434">
        <w:t xml:space="preserve">algunas de </w:t>
      </w:r>
      <w:r w:rsidR="005F2434" w:rsidRPr="005F2434">
        <w:t xml:space="preserve">las </w:t>
      </w:r>
      <w:r w:rsidRPr="005F2434">
        <w:t>comunidades con mayores precios de la vivienda libre</w:t>
      </w:r>
      <w:r w:rsidR="00631215" w:rsidRPr="005F2434">
        <w:t>), registrándose</w:t>
      </w:r>
      <w:r w:rsidR="00631215">
        <w:t xml:space="preserve"> el pasado año el mayor importe medio desde el año 2008</w:t>
      </w:r>
      <w:r w:rsidR="0035535D">
        <w:t>.</w:t>
      </w:r>
    </w:p>
    <w:p w:rsidR="009B4501" w:rsidRDefault="0035535D" w:rsidP="0035535D">
      <w:pPr>
        <w:jc w:val="both"/>
      </w:pPr>
      <w:r>
        <w:t xml:space="preserve">En cuanto a las provincias andaluzas, el importe medio de las hipotecas oscila entre los 83.728 euros de Jaén y los 176.701 euros de Málaga, valor este último solo inferior a los registrados en Baleares y Madrid, donde se superan los 200.000 euros. Con relación a 2022, el importe medio ha disminuido en Almería, Granada y Cádiz, se ha mantenido estable en Huelva y ha aumentado en el resto. </w:t>
      </w:r>
      <w:r w:rsidR="00FE5224">
        <w:t>Asimismo, desde 2014, cuando se inició la recuperación de la actividad económica tras la crisis de 2008, el importe medio de las hipotecas ha aumentado en algo más de un 40% en Andalucía, con aumentos superiores al 30% en Cádiz, Córdoba, Granada y Sevilla, y cercano al 70% en la provincia de Málaga.</w:t>
      </w:r>
    </w:p>
    <w:p w:rsidR="0035535D" w:rsidRPr="00684497" w:rsidRDefault="00BF0EB0">
      <w:r w:rsidRPr="00BF0EB0">
        <w:rPr>
          <w:noProof/>
          <w:lang w:eastAsia="es-ES"/>
        </w:rPr>
        <w:lastRenderedPageBreak/>
        <w:drawing>
          <wp:inline distT="0" distB="0" distL="0" distR="0">
            <wp:extent cx="5400040" cy="303467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313872" w:rsidRPr="00697771" w:rsidRDefault="00697771" w:rsidP="0031411F">
      <w:pPr>
        <w:jc w:val="both"/>
      </w:pPr>
      <w:r w:rsidRPr="00697771">
        <w:t>Seg</w:t>
      </w:r>
      <w:r>
        <w:t>ún estimaciones del Banco de España, en el tercer trimestre de 2023, la relación entre el principal del préstamo y el valor de tasación registrado con la hipoteca se situó</w:t>
      </w:r>
      <w:r w:rsidR="0031411F">
        <w:t xml:space="preserve"> en el 62,2%. Esta ratio es 2,4 p.p. inferior a la de un año antes y se ha mantenido, en líneas generales, por encima del 60% desde el primer trimestre de 2004, con excepción del periodo comprendido entre el tercer trimestre de 2008 y septiembre de 2014, coincidiendo con la crisis económica.</w:t>
      </w:r>
      <w:r w:rsidR="00CC3525">
        <w:t xml:space="preserve"> Asimismo, la proporción de préstamos nuevos</w:t>
      </w:r>
      <w:r w:rsidR="002B08EB">
        <w:t xml:space="preserve"> que superan el 80% en la relación préstamo/valor se situó en el 6,6%, frente al 8,9% de un año antes o el 18% que llegó a alcanzar a mediados del año 2006, antes de la crisis inmobiliaria. </w:t>
      </w:r>
    </w:p>
    <w:p w:rsidR="0088547B" w:rsidRDefault="00850B7A" w:rsidP="00850B7A">
      <w:pPr>
        <w:jc w:val="both"/>
      </w:pPr>
      <w:r>
        <w:t>Esta relación préstamo/valor es uno de los parámetros relacionados con las condiciones de financiación que afectan al esfuerzo de acceso a la vivienda en propiedad, junto con los tipos de interés o el plazo</w:t>
      </w:r>
      <w:r w:rsidR="0088547B">
        <w:t xml:space="preserve">. Este esfuerzo suele estimarse a partir de indicadores de accesibilidad, </w:t>
      </w:r>
      <w:r w:rsidR="00EB311C">
        <w:t xml:space="preserve">cuyo concepto básico es vincular </w:t>
      </w:r>
      <w:r w:rsidR="00A20A5C">
        <w:t xml:space="preserve">los precios de venta o alquiler con </w:t>
      </w:r>
      <w:r w:rsidR="0088547B">
        <w:t>los ingresos de las familias</w:t>
      </w:r>
      <w:r w:rsidR="00A20A5C">
        <w:t>, para los que suelen utilizarse como referencia la renta del hogar o el salario medio. En este sentido, l</w:t>
      </w:r>
      <w:r w:rsidR="00EB311C">
        <w:t>os indicadores habituales de medición de la accesibilidad a la vivienda suelen ser la relación entre el precio de la vivienda y los ingresos familiares y el esfuerzo teórico anual de acceso a la vivienda.</w:t>
      </w:r>
    </w:p>
    <w:p w:rsidR="00EB311C" w:rsidRDefault="0095355C" w:rsidP="00850B7A">
      <w:pPr>
        <w:jc w:val="both"/>
      </w:pPr>
      <w:r>
        <w:t xml:space="preserve">Según estimaciones del Banco de España, </w:t>
      </w:r>
      <w:r w:rsidR="00A20A5C">
        <w:t>a partir de la relación entre el precio medio de una vivienda libre y la renta bruta estimada del hogar</w:t>
      </w:r>
      <w:r w:rsidR="00854033">
        <w:t xml:space="preserve">, el número de años necesarios para comprar una vivienda en España era de 7,5 al tercer trimestre de 2023 (número de rentas anuales equivalentes al precio de la vivienda), </w:t>
      </w:r>
      <w:r w:rsidR="00D93EE8">
        <w:t>una ratio que ha aumentado ligeramente desde finales de 2019. Sin embargo, con relación al mismo periodo de 2022 se necesitan a</w:t>
      </w:r>
      <w:r w:rsidR="00854033">
        <w:t xml:space="preserve">lrededor de 4 meses menos </w:t>
      </w:r>
      <w:r w:rsidR="00D93EE8">
        <w:t xml:space="preserve">para comprar una vivienda, así como </w:t>
      </w:r>
      <w:r w:rsidR="00854033">
        <w:t xml:space="preserve">dos </w:t>
      </w:r>
      <w:r w:rsidR="00D93EE8">
        <w:t xml:space="preserve">años </w:t>
      </w:r>
      <w:r w:rsidR="00854033">
        <w:t xml:space="preserve">menos que en el tercer trimestre de 2007, antes de la crisis inmobiliaria. </w:t>
      </w:r>
    </w:p>
    <w:p w:rsidR="00AF081D" w:rsidRDefault="00936380" w:rsidP="00850B7A">
      <w:pPr>
        <w:jc w:val="both"/>
      </w:pPr>
      <w:r>
        <w:t xml:space="preserve">En cuanto al esfuerzo teórico anual de los hogares para la compra de una vivienda, el Banco de España estima que se situó en el 39,2% en el mismo trimestre señalado de 2023, lo que supone un aumento de alrededor de 5,5 p.p. con relación a un año antes, dado el contexto de subidas en los tipos de interés. Este esfuerzo </w:t>
      </w:r>
      <w:r w:rsidR="00BF2154">
        <w:t xml:space="preserve">se calcula como </w:t>
      </w:r>
      <w:r>
        <w:t xml:space="preserve">el porcentaje de la renta anual disponible que un hogar tiene que destinar al pago de las cuotas en el primer año </w:t>
      </w:r>
      <w:r w:rsidR="00BF2154">
        <w:t xml:space="preserve">de adquisición de una vivienda tipo financiada con un préstamo por el 80% del valor de la vivienda. </w:t>
      </w:r>
    </w:p>
    <w:p w:rsidR="00421D4A" w:rsidRDefault="00CD4B02" w:rsidP="00F454AB">
      <w:pPr>
        <w:rPr>
          <w:color w:val="323232"/>
          <w:sz w:val="23"/>
          <w:szCs w:val="23"/>
        </w:rPr>
      </w:pPr>
      <w:r w:rsidRPr="00CD4B02">
        <w:rPr>
          <w:noProof/>
          <w:lang w:eastAsia="es-ES"/>
        </w:rPr>
        <w:lastRenderedPageBreak/>
        <w:drawing>
          <wp:inline distT="0" distB="0" distL="0" distR="0">
            <wp:extent cx="5400040" cy="3034677"/>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695294" w:rsidRPr="00932426" w:rsidRDefault="00D54088" w:rsidP="00932426">
      <w:pPr>
        <w:jc w:val="both"/>
        <w:rPr>
          <w:color w:val="323232"/>
        </w:rPr>
      </w:pPr>
      <w:r>
        <w:rPr>
          <w:color w:val="323232"/>
        </w:rPr>
        <w:t xml:space="preserve">Para </w:t>
      </w:r>
      <w:r w:rsidR="00932426" w:rsidRPr="00932426">
        <w:rPr>
          <w:color w:val="323232"/>
        </w:rPr>
        <w:t>l</w:t>
      </w:r>
      <w:r w:rsidR="00583C80">
        <w:rPr>
          <w:color w:val="323232"/>
        </w:rPr>
        <w:t>os</w:t>
      </w:r>
      <w:r w:rsidR="00932426" w:rsidRPr="00932426">
        <w:rPr>
          <w:color w:val="323232"/>
        </w:rPr>
        <w:t xml:space="preserve"> </w:t>
      </w:r>
      <w:r w:rsidR="00583C80">
        <w:rPr>
          <w:color w:val="323232"/>
        </w:rPr>
        <w:t>cálculos r</w:t>
      </w:r>
      <w:r w:rsidR="00932426" w:rsidRPr="00932426">
        <w:rPr>
          <w:color w:val="323232"/>
        </w:rPr>
        <w:t>ealizad</w:t>
      </w:r>
      <w:r w:rsidR="00583C80">
        <w:rPr>
          <w:color w:val="323232"/>
        </w:rPr>
        <w:t>o</w:t>
      </w:r>
      <w:r w:rsidR="00932426" w:rsidRPr="00932426">
        <w:rPr>
          <w:color w:val="323232"/>
        </w:rPr>
        <w:t xml:space="preserve">s por </w:t>
      </w:r>
      <w:r w:rsidR="00932426" w:rsidRPr="00DF43D6">
        <w:rPr>
          <w:i/>
          <w:color w:val="323232"/>
        </w:rPr>
        <w:t>Analistas Económicos de Andalucía</w:t>
      </w:r>
      <w:r w:rsidR="00932426">
        <w:rPr>
          <w:color w:val="323232"/>
        </w:rPr>
        <w:t xml:space="preserve"> </w:t>
      </w:r>
      <w:r>
        <w:rPr>
          <w:color w:val="323232"/>
        </w:rPr>
        <w:t xml:space="preserve">se han </w:t>
      </w:r>
      <w:r w:rsidR="00D22016">
        <w:rPr>
          <w:color w:val="323232"/>
        </w:rPr>
        <w:t>utiliza</w:t>
      </w:r>
      <w:r>
        <w:rPr>
          <w:color w:val="323232"/>
        </w:rPr>
        <w:t>do</w:t>
      </w:r>
      <w:r w:rsidR="00D22016">
        <w:rPr>
          <w:color w:val="323232"/>
        </w:rPr>
        <w:t xml:space="preserve"> los</w:t>
      </w:r>
      <w:r w:rsidR="00932426">
        <w:rPr>
          <w:color w:val="323232"/>
        </w:rPr>
        <w:t xml:space="preserve"> datos de </w:t>
      </w:r>
      <w:r w:rsidR="00D22016">
        <w:rPr>
          <w:color w:val="323232"/>
        </w:rPr>
        <w:t xml:space="preserve">valor tasado de la </w:t>
      </w:r>
      <w:r w:rsidR="00932426">
        <w:rPr>
          <w:color w:val="323232"/>
        </w:rPr>
        <w:t xml:space="preserve">vivienda libre del Ministerio de </w:t>
      </w:r>
      <w:r w:rsidR="00D22016">
        <w:rPr>
          <w:color w:val="323232"/>
        </w:rPr>
        <w:t xml:space="preserve">Vivienda y Agenda Urbana, así </w:t>
      </w:r>
      <w:r>
        <w:rPr>
          <w:color w:val="323232"/>
        </w:rPr>
        <w:t xml:space="preserve">como los precios de alquiler del Portal Idealista. </w:t>
      </w:r>
      <w:r w:rsidR="009F4E4B">
        <w:rPr>
          <w:color w:val="323232"/>
        </w:rPr>
        <w:t xml:space="preserve">Por su parte, </w:t>
      </w:r>
      <w:r w:rsidR="00EE6E05">
        <w:rPr>
          <w:color w:val="323232"/>
        </w:rPr>
        <w:t xml:space="preserve">para la estimación </w:t>
      </w:r>
      <w:r w:rsidR="009F4E4B">
        <w:rPr>
          <w:color w:val="323232"/>
        </w:rPr>
        <w:t>de los ingreso</w:t>
      </w:r>
      <w:r w:rsidR="005A6FAE">
        <w:rPr>
          <w:color w:val="323232"/>
        </w:rPr>
        <w:t xml:space="preserve">s </w:t>
      </w:r>
      <w:r w:rsidR="00EE6E05">
        <w:rPr>
          <w:color w:val="323232"/>
        </w:rPr>
        <w:t>por hogar se ha partido de las c</w:t>
      </w:r>
      <w:r w:rsidR="005A6FAE">
        <w:rPr>
          <w:color w:val="323232"/>
        </w:rPr>
        <w:t xml:space="preserve">ifras de la estadística “Los salarios en Andalucía”, del Instituto de Estadística y Cartografía de Andalucía, que proporciona datos para el conjunto de la región, las provincias y los municipios mayores de 100.000 habitantes, así como por tramos de edad. </w:t>
      </w:r>
      <w:r w:rsidR="009A0446">
        <w:rPr>
          <w:color w:val="323232"/>
        </w:rPr>
        <w:t xml:space="preserve">Por este motivo, solo se han realizado estimaciones desde el año 2017, primer año disponible de la citada estadística. </w:t>
      </w:r>
    </w:p>
    <w:p w:rsidR="00695294" w:rsidRDefault="009A0446" w:rsidP="009A0446">
      <w:pPr>
        <w:jc w:val="both"/>
        <w:rPr>
          <w:color w:val="323232"/>
        </w:rPr>
      </w:pPr>
      <w:r w:rsidRPr="009A0446">
        <w:rPr>
          <w:color w:val="323232"/>
        </w:rPr>
        <w:t xml:space="preserve">El número </w:t>
      </w:r>
      <w:r>
        <w:rPr>
          <w:color w:val="323232"/>
        </w:rPr>
        <w:t xml:space="preserve">de años necesario para adquirir una vivienda en Andalucía se sitúa en torno a 7,4 años, frente a los 6,6 de media en España, según nuestras estimaciones, tal y como refleja la relación entre el precio medio de una vivienda </w:t>
      </w:r>
      <w:r w:rsidR="00190272">
        <w:rPr>
          <w:color w:val="323232"/>
        </w:rPr>
        <w:t xml:space="preserve">tipo de unos </w:t>
      </w:r>
      <w:r w:rsidR="00190272" w:rsidRPr="004F7705">
        <w:rPr>
          <w:color w:val="323232"/>
        </w:rPr>
        <w:t>90 m</w:t>
      </w:r>
      <w:r w:rsidR="00190272" w:rsidRPr="004F7705">
        <w:rPr>
          <w:color w:val="323232"/>
          <w:vertAlign w:val="superscript"/>
        </w:rPr>
        <w:t>2</w:t>
      </w:r>
      <w:r w:rsidR="00190272" w:rsidRPr="004F7705">
        <w:rPr>
          <w:color w:val="323232"/>
        </w:rPr>
        <w:t xml:space="preserve"> (dato aproximado teniendo en cuenta los datos del Colegio de Registradores) </w:t>
      </w:r>
      <w:r w:rsidRPr="004F7705">
        <w:rPr>
          <w:color w:val="323232"/>
        </w:rPr>
        <w:t>y el salario bruto por hogar</w:t>
      </w:r>
      <w:r>
        <w:rPr>
          <w:color w:val="323232"/>
        </w:rPr>
        <w:t>. Esta cifra ha descendido ligeramente en los últimos años</w:t>
      </w:r>
      <w:r w:rsidR="00050AEC">
        <w:rPr>
          <w:color w:val="323232"/>
        </w:rPr>
        <w:t>, dado el mayor crecimiento en términos relativos del salario bruto respecto a los precios de la vivienda.</w:t>
      </w:r>
    </w:p>
    <w:p w:rsidR="00C85C87" w:rsidRDefault="00DF43D6" w:rsidP="009A0446">
      <w:pPr>
        <w:jc w:val="both"/>
        <w:rPr>
          <w:color w:val="323232"/>
        </w:rPr>
      </w:pPr>
      <w:r>
        <w:rPr>
          <w:color w:val="323232"/>
        </w:rPr>
        <w:t>D</w:t>
      </w:r>
      <w:r w:rsidR="00B637E6">
        <w:rPr>
          <w:color w:val="323232"/>
        </w:rPr>
        <w:t>adas las diferencias en precios y salarios entre distintos ámbitos territoriales, esta relación precio/ingresos oscila entre los 4,</w:t>
      </w:r>
      <w:r w:rsidR="00331CDB">
        <w:rPr>
          <w:color w:val="323232"/>
        </w:rPr>
        <w:t>8</w:t>
      </w:r>
      <w:r w:rsidR="00B637E6">
        <w:rPr>
          <w:color w:val="323232"/>
        </w:rPr>
        <w:t xml:space="preserve"> años </w:t>
      </w:r>
      <w:r w:rsidR="00331CDB">
        <w:rPr>
          <w:color w:val="323232"/>
        </w:rPr>
        <w:t>en la provincia de</w:t>
      </w:r>
      <w:r w:rsidR="00B637E6">
        <w:rPr>
          <w:color w:val="323232"/>
        </w:rPr>
        <w:t xml:space="preserve"> Jaén y los </w:t>
      </w:r>
      <w:r w:rsidR="00331CDB">
        <w:rPr>
          <w:color w:val="323232"/>
        </w:rPr>
        <w:t xml:space="preserve">10,3 en la de Málaga, siendo también superior a la media andaluza el número de años necesario para comprar una vivienda en Cádiz. </w:t>
      </w:r>
      <w:r w:rsidR="006F1B5F">
        <w:rPr>
          <w:color w:val="323232"/>
        </w:rPr>
        <w:t xml:space="preserve">También entre los municipios se aprecian significativas diferencias, con mayores ratios de accesibilidad, en general, en municipios de mayor tamaño, ya que </w:t>
      </w:r>
      <w:r w:rsidR="009E2D0A">
        <w:rPr>
          <w:color w:val="323232"/>
        </w:rPr>
        <w:t>en los de menor tamaño los menores ingresos también suelen coincidir con menores precios de la vivienda.</w:t>
      </w:r>
    </w:p>
    <w:p w:rsidR="00B637E6" w:rsidRDefault="004F7705" w:rsidP="009A0446">
      <w:pPr>
        <w:jc w:val="both"/>
        <w:rPr>
          <w:color w:val="323232"/>
        </w:rPr>
      </w:pPr>
      <w:r>
        <w:rPr>
          <w:color w:val="323232"/>
        </w:rPr>
        <w:t>De hecho, entre las capitales de provincia andaluzas, con las excepciones de Huelva y Málaga, el número de años necesarios para la compra de una vivienda es superior a la media de la provincia. Además, entre los municipios de más de 100.000 habitantes</w:t>
      </w:r>
      <w:r w:rsidR="00092BAB">
        <w:rPr>
          <w:color w:val="323232"/>
        </w:rPr>
        <w:t xml:space="preserve"> de Andalucía</w:t>
      </w:r>
      <w:r>
        <w:rPr>
          <w:color w:val="323232"/>
        </w:rPr>
        <w:t xml:space="preserve">, </w:t>
      </w:r>
      <w:r w:rsidR="00C85C87">
        <w:rPr>
          <w:color w:val="323232"/>
        </w:rPr>
        <w:t>la relación entre precios de la vivienda e ingresos por hogar</w:t>
      </w:r>
      <w:r w:rsidR="00092BAB">
        <w:rPr>
          <w:color w:val="323232"/>
        </w:rPr>
        <w:t xml:space="preserve"> oscila entre los </w:t>
      </w:r>
      <w:r w:rsidR="00DF43D6">
        <w:rPr>
          <w:color w:val="323232"/>
        </w:rPr>
        <w:t xml:space="preserve">4,9 </w:t>
      </w:r>
      <w:r w:rsidR="00092BAB">
        <w:rPr>
          <w:color w:val="323232"/>
        </w:rPr>
        <w:t xml:space="preserve">años de </w:t>
      </w:r>
      <w:r w:rsidR="00DF43D6">
        <w:rPr>
          <w:color w:val="323232"/>
        </w:rPr>
        <w:t>Jaén</w:t>
      </w:r>
      <w:r w:rsidR="00092BAB">
        <w:rPr>
          <w:color w:val="323232"/>
        </w:rPr>
        <w:t xml:space="preserve"> y los 14,3 de Marbella (Málaga). Asimismo, también en la capital gaditana se superarían los 10 años, en tanto que en las ciudades de Málaga, Granada y Sevilla esta relación precio/ingresos</w:t>
      </w:r>
      <w:r w:rsidR="00C85C87">
        <w:rPr>
          <w:color w:val="323232"/>
        </w:rPr>
        <w:t xml:space="preserve"> </w:t>
      </w:r>
      <w:r w:rsidR="00092BAB">
        <w:rPr>
          <w:color w:val="323232"/>
        </w:rPr>
        <w:t>supera la media regional, situándose por encima de los 8 años.</w:t>
      </w:r>
      <w:r w:rsidR="004274D4">
        <w:rPr>
          <w:color w:val="323232"/>
        </w:rPr>
        <w:t xml:space="preserve"> </w:t>
      </w:r>
    </w:p>
    <w:p w:rsidR="00C85C87" w:rsidRDefault="00C85C87" w:rsidP="009A0446">
      <w:pPr>
        <w:jc w:val="both"/>
        <w:rPr>
          <w:color w:val="323232"/>
        </w:rPr>
      </w:pPr>
    </w:p>
    <w:p w:rsidR="00C85C87" w:rsidRDefault="002B3863" w:rsidP="009A0446">
      <w:pPr>
        <w:jc w:val="both"/>
        <w:rPr>
          <w:color w:val="323232"/>
        </w:rPr>
      </w:pPr>
      <w:r w:rsidRPr="002B3863">
        <w:rPr>
          <w:noProof/>
          <w:lang w:eastAsia="es-ES"/>
        </w:rPr>
        <w:lastRenderedPageBreak/>
        <w:drawing>
          <wp:inline distT="0" distB="0" distL="0" distR="0">
            <wp:extent cx="5400040" cy="303467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8B2731" w:rsidRDefault="0030466D" w:rsidP="008B2731">
      <w:pPr>
        <w:jc w:val="both"/>
        <w:rPr>
          <w:color w:val="323232"/>
        </w:rPr>
      </w:pPr>
      <w:r>
        <w:rPr>
          <w:color w:val="323232"/>
        </w:rPr>
        <w:t>En lo que respecta al esfuerzo teórico de acceso a la vivienda, en Andalucía se tendría que destinar de media un 37,1% de los ingresos brut</w:t>
      </w:r>
      <w:r w:rsidR="009B7B27">
        <w:rPr>
          <w:color w:val="323232"/>
        </w:rPr>
        <w:t>os por hogar para el pago de la</w:t>
      </w:r>
      <w:r w:rsidR="00C4754B">
        <w:rPr>
          <w:color w:val="323232"/>
        </w:rPr>
        <w:t xml:space="preserve"> cuota anual </w:t>
      </w:r>
      <w:r w:rsidR="009B7B27">
        <w:rPr>
          <w:color w:val="323232"/>
        </w:rPr>
        <w:t xml:space="preserve">para adquirir </w:t>
      </w:r>
      <w:r w:rsidR="005F710B">
        <w:rPr>
          <w:color w:val="323232"/>
        </w:rPr>
        <w:t xml:space="preserve">una vivienda </w:t>
      </w:r>
      <w:r w:rsidR="00C4754B">
        <w:rPr>
          <w:color w:val="323232"/>
        </w:rPr>
        <w:t>financiada con un préstamo por el 80% del valor del piso</w:t>
      </w:r>
      <w:r w:rsidR="00CD15D0">
        <w:rPr>
          <w:color w:val="323232"/>
        </w:rPr>
        <w:t xml:space="preserve"> (33,2% en España), según estimaciones de </w:t>
      </w:r>
      <w:r w:rsidR="00CD15D0" w:rsidRPr="002B3863">
        <w:rPr>
          <w:i/>
          <w:color w:val="323232"/>
        </w:rPr>
        <w:t>Analistas Económicos de Andalucía</w:t>
      </w:r>
      <w:r w:rsidR="00C4754B">
        <w:rPr>
          <w:color w:val="323232"/>
        </w:rPr>
        <w:t xml:space="preserve">. </w:t>
      </w:r>
      <w:r w:rsidR="008B2731">
        <w:rPr>
          <w:color w:val="323232"/>
        </w:rPr>
        <w:t>Esto supone un aumento de 6,3 p.p. en el último año, debido al encarecimiento en los costes de financiación</w:t>
      </w:r>
      <w:r w:rsidR="003C0503">
        <w:rPr>
          <w:color w:val="323232"/>
        </w:rPr>
        <w:t xml:space="preserve">. En España el incremento ha sido algo menor, de </w:t>
      </w:r>
      <w:r w:rsidR="008B2731">
        <w:rPr>
          <w:color w:val="323232"/>
        </w:rPr>
        <w:t xml:space="preserve">5,1 puntos, </w:t>
      </w:r>
      <w:r w:rsidR="003C0503">
        <w:rPr>
          <w:color w:val="323232"/>
        </w:rPr>
        <w:t>principalmente por el menor crecimiento relativo de los precios de la vivienda.</w:t>
      </w:r>
    </w:p>
    <w:p w:rsidR="008B2731" w:rsidRDefault="00C4754B" w:rsidP="009A0446">
      <w:pPr>
        <w:jc w:val="both"/>
        <w:rPr>
          <w:color w:val="323232"/>
        </w:rPr>
      </w:pPr>
      <w:r>
        <w:rPr>
          <w:color w:val="323232"/>
        </w:rPr>
        <w:t xml:space="preserve">Para esta estimación se ha considerado que la duración media de la hipoteca es de 25 años, tal y como se desprende de la información </w:t>
      </w:r>
      <w:r w:rsidR="002B3863">
        <w:rPr>
          <w:color w:val="323232"/>
        </w:rPr>
        <w:t xml:space="preserve">más reciente </w:t>
      </w:r>
      <w:r>
        <w:rPr>
          <w:color w:val="323232"/>
        </w:rPr>
        <w:t>publicada por el Colegio de Registradores, y se ha tomado como referencia la evolución del tipo de interés medio de los nuevos préstamos de vivienda, que publica el Banco de España.</w:t>
      </w:r>
    </w:p>
    <w:p w:rsidR="00D473CC" w:rsidRDefault="008B2731" w:rsidP="009A0446">
      <w:pPr>
        <w:jc w:val="both"/>
        <w:rPr>
          <w:color w:val="323232"/>
        </w:rPr>
      </w:pPr>
      <w:r>
        <w:rPr>
          <w:color w:val="323232"/>
        </w:rPr>
        <w:t xml:space="preserve">La ratio señalada </w:t>
      </w:r>
      <w:r w:rsidR="00552B59">
        <w:rPr>
          <w:color w:val="323232"/>
        </w:rPr>
        <w:t xml:space="preserve">superaría el esfuerzo </w:t>
      </w:r>
      <w:r w:rsidR="002B3863">
        <w:rPr>
          <w:color w:val="323232"/>
        </w:rPr>
        <w:t>recomendado</w:t>
      </w:r>
      <w:r w:rsidR="00552B59">
        <w:rPr>
          <w:color w:val="323232"/>
        </w:rPr>
        <w:t>, en torno a un tercio de los ingresos por hogar. Por provincias, Málaga y Cádiz superar</w:t>
      </w:r>
      <w:r w:rsidR="00A247FD">
        <w:rPr>
          <w:color w:val="323232"/>
        </w:rPr>
        <w:t>ían</w:t>
      </w:r>
      <w:r w:rsidR="00552B59">
        <w:rPr>
          <w:color w:val="323232"/>
        </w:rPr>
        <w:t xml:space="preserve"> este límite, con ratios de acceso a la vivienda del 51,7% y 43,4%, respectivamente, </w:t>
      </w:r>
      <w:r w:rsidR="00A247FD">
        <w:rPr>
          <w:color w:val="323232"/>
        </w:rPr>
        <w:t xml:space="preserve">en tanto que Granada, Sevilla y Huelva contarían con ratios muy cercanos a dicho límite. Solo en Córdoba, Almería y Jaén </w:t>
      </w:r>
      <w:r w:rsidR="0084059A">
        <w:rPr>
          <w:color w:val="323232"/>
        </w:rPr>
        <w:t xml:space="preserve">el esfuerzo sería inferior al 30% de los ingresos por hogar. Entre los municipios de mayor tamaño, </w:t>
      </w:r>
      <w:r w:rsidR="006F3AF6">
        <w:rPr>
          <w:color w:val="323232"/>
        </w:rPr>
        <w:t xml:space="preserve">las ratios de acceso a la vivienda  superan el 40% </w:t>
      </w:r>
      <w:r w:rsidR="0084059A">
        <w:rPr>
          <w:color w:val="323232"/>
        </w:rPr>
        <w:t>en las dos principales ciudades</w:t>
      </w:r>
      <w:r w:rsidR="006F3AF6">
        <w:rPr>
          <w:color w:val="323232"/>
        </w:rPr>
        <w:t xml:space="preserve"> de </w:t>
      </w:r>
      <w:r w:rsidR="002B3863">
        <w:rPr>
          <w:color w:val="323232"/>
        </w:rPr>
        <w:t>l</w:t>
      </w:r>
      <w:r w:rsidR="006F3AF6">
        <w:rPr>
          <w:color w:val="323232"/>
        </w:rPr>
        <w:t>a región</w:t>
      </w:r>
      <w:r w:rsidR="0084059A">
        <w:rPr>
          <w:color w:val="323232"/>
        </w:rPr>
        <w:t xml:space="preserve"> (Sevilla y Málaga)</w:t>
      </w:r>
      <w:r w:rsidR="006F3AF6">
        <w:rPr>
          <w:color w:val="323232"/>
        </w:rPr>
        <w:t>, acercándose al 50% en el caso de la capital malagueña. También en Granada</w:t>
      </w:r>
      <w:r w:rsidR="002B3863">
        <w:rPr>
          <w:color w:val="323232"/>
        </w:rPr>
        <w:t xml:space="preserve"> </w:t>
      </w:r>
      <w:r w:rsidR="006F3AF6">
        <w:rPr>
          <w:color w:val="323232"/>
        </w:rPr>
        <w:t xml:space="preserve">se supera el 40%, </w:t>
      </w:r>
      <w:r w:rsidR="002B3863">
        <w:rPr>
          <w:color w:val="323232"/>
        </w:rPr>
        <w:t xml:space="preserve">y más del 60% en Cádiz y Marbella, </w:t>
      </w:r>
      <w:r w:rsidR="006F3AF6">
        <w:rPr>
          <w:color w:val="323232"/>
        </w:rPr>
        <w:t xml:space="preserve">al tiempo que la ciudad de Jerez de la Frontera tendría una ratio en el límite de lo </w:t>
      </w:r>
      <w:r w:rsidR="002B3863">
        <w:rPr>
          <w:color w:val="323232"/>
        </w:rPr>
        <w:t>recomendado</w:t>
      </w:r>
      <w:r w:rsidR="006F3AF6">
        <w:rPr>
          <w:color w:val="323232"/>
        </w:rPr>
        <w:t>.</w:t>
      </w:r>
    </w:p>
    <w:p w:rsidR="00203933" w:rsidRDefault="002856FB" w:rsidP="00203933">
      <w:pPr>
        <w:jc w:val="both"/>
        <w:rPr>
          <w:color w:val="323232"/>
        </w:rPr>
      </w:pPr>
      <w:r>
        <w:rPr>
          <w:color w:val="323232"/>
        </w:rPr>
        <w:t>Estos ratios de acceso a la vivienda</w:t>
      </w:r>
      <w:r w:rsidR="006064F8">
        <w:rPr>
          <w:color w:val="323232"/>
        </w:rPr>
        <w:t xml:space="preserve"> resultarían inferiores al realizar las estimaciones de ingresos por hogar a partir del </w:t>
      </w:r>
      <w:r w:rsidR="006064F8" w:rsidRPr="002B3863">
        <w:rPr>
          <w:i/>
          <w:color w:val="323232"/>
        </w:rPr>
        <w:t>salario equivalente anual a tiempo completo</w:t>
      </w:r>
      <w:r w:rsidR="006064F8">
        <w:rPr>
          <w:color w:val="323232"/>
        </w:rPr>
        <w:t xml:space="preserve">, que supera en </w:t>
      </w:r>
      <w:r w:rsidR="002B3863">
        <w:rPr>
          <w:color w:val="323232"/>
        </w:rPr>
        <w:t xml:space="preserve">torno a </w:t>
      </w:r>
      <w:r w:rsidR="006064F8">
        <w:rPr>
          <w:color w:val="323232"/>
        </w:rPr>
        <w:t>un 40% al salario bruto anual. Así, el esfuerzo en Andalucía se situaría por debajo del 30%, al igual que en España, superando dicho valor solo en las provincias de Málaga y Cádiz, especialmente en la primera. Asimismo, solo en cinco de los trece municipios de mayor población en Andalucía las ratios de esfuerzo superarían dicho nivel (Marbella, Cádiz, Málaga, Sevilla y Granada), destacando las mayores ratios de la ciudad de Mar</w:t>
      </w:r>
      <w:r w:rsidR="00203933">
        <w:rPr>
          <w:color w:val="323232"/>
        </w:rPr>
        <w:t>bella y de la capital gaditana.</w:t>
      </w:r>
    </w:p>
    <w:p w:rsidR="002856FB" w:rsidRPr="002856FB" w:rsidRDefault="00203933" w:rsidP="00203933">
      <w:pPr>
        <w:jc w:val="both"/>
        <w:rPr>
          <w:rFonts w:ascii="Source Sans Pro" w:hAnsi="Source Sans Pro" w:cs="Source Sans Pro"/>
          <w:color w:val="000000"/>
          <w:sz w:val="24"/>
          <w:szCs w:val="24"/>
        </w:rPr>
      </w:pPr>
      <w:r>
        <w:rPr>
          <w:color w:val="323232"/>
        </w:rPr>
        <w:t xml:space="preserve">Hay que señalar que estos salarios equivalentes corresponderían a los ingresos que se percibirían si se trabajara a lo largo de todo el año a jornada completa, lo que no siempre es así </w:t>
      </w:r>
      <w:r>
        <w:rPr>
          <w:color w:val="323232"/>
        </w:rPr>
        <w:lastRenderedPageBreak/>
        <w:t xml:space="preserve">(en 2022 cada asalariado trabajó de media un 72% del tiempo que supondría una jornada completa que durase todo el año), de ahí que se haya optado por utilizar como referencia el salario bruto medio anual. </w:t>
      </w:r>
    </w:p>
    <w:p w:rsidR="002856FB" w:rsidRDefault="002B3863" w:rsidP="009A0446">
      <w:pPr>
        <w:jc w:val="both"/>
        <w:rPr>
          <w:color w:val="323232"/>
        </w:rPr>
      </w:pPr>
      <w:r w:rsidRPr="002B3863">
        <w:rPr>
          <w:noProof/>
          <w:lang w:eastAsia="es-ES"/>
        </w:rPr>
        <w:drawing>
          <wp:inline distT="0" distB="0" distL="0" distR="0">
            <wp:extent cx="5400040" cy="303467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293D15" w:rsidRDefault="00750A1B" w:rsidP="0022212A">
      <w:pPr>
        <w:jc w:val="both"/>
        <w:rPr>
          <w:color w:val="323232"/>
        </w:rPr>
      </w:pPr>
      <w:r>
        <w:rPr>
          <w:color w:val="323232"/>
        </w:rPr>
        <w:t xml:space="preserve">Por otro lado, las ratios </w:t>
      </w:r>
      <w:r w:rsidR="0022212A">
        <w:rPr>
          <w:color w:val="323232"/>
        </w:rPr>
        <w:t>calculadas</w:t>
      </w:r>
      <w:r>
        <w:rPr>
          <w:color w:val="323232"/>
        </w:rPr>
        <w:t xml:space="preserve"> </w:t>
      </w:r>
      <w:r w:rsidR="0022212A">
        <w:rPr>
          <w:color w:val="323232"/>
        </w:rPr>
        <w:t>podrían estar sobreestimando el esfuerzo de acceso para la compra de vivienda, al considerar únicamente los ingresos del hogar derivados de los salarios de los trabajadores, pero al mismo tiempo podrían estar infraestimándolo, ya que, por ejemplo, los ingresos de la población más joven o de hogares más vulnerables quedarían por debajo de los salarios medios utilizados.</w:t>
      </w:r>
      <w:r w:rsidR="00A06B4D">
        <w:rPr>
          <w:color w:val="323232"/>
        </w:rPr>
        <w:t xml:space="preserve"> Además, hay que tener en cuenta que la financiación para la compra de vivienda se estima en el 80% del valor de tasación de esta, lo que obliga a disponer de ahorro para alcanzar la totalidad del precio, sin incluir impuestos y gastos relacionados.</w:t>
      </w:r>
    </w:p>
    <w:p w:rsidR="00D473CC" w:rsidRDefault="0022212A" w:rsidP="0022212A">
      <w:pPr>
        <w:jc w:val="both"/>
        <w:rPr>
          <w:color w:val="323232"/>
        </w:rPr>
      </w:pPr>
      <w:r>
        <w:rPr>
          <w:color w:val="323232"/>
        </w:rPr>
        <w:t xml:space="preserve">De hecho, </w:t>
      </w:r>
      <w:r w:rsidR="002E3A70">
        <w:rPr>
          <w:color w:val="323232"/>
        </w:rPr>
        <w:t xml:space="preserve">según nuestras estimaciones, </w:t>
      </w:r>
      <w:r w:rsidR="001C32DD">
        <w:rPr>
          <w:color w:val="323232"/>
        </w:rPr>
        <w:t xml:space="preserve">entre los menores de 30 años, cuyo salario fue en 2022 alrededor de un 44% inferior a la media, </w:t>
      </w:r>
      <w:r w:rsidR="008716DC">
        <w:rPr>
          <w:color w:val="323232"/>
        </w:rPr>
        <w:t xml:space="preserve">el esfuerzo para acceder a la compra de una vivienda con financiación supera el 45% en todas las provincias, </w:t>
      </w:r>
      <w:r w:rsidR="002B3863">
        <w:rPr>
          <w:color w:val="323232"/>
        </w:rPr>
        <w:t xml:space="preserve">excluyendo Jaén, </w:t>
      </w:r>
      <w:r w:rsidR="008716DC">
        <w:rPr>
          <w:color w:val="323232"/>
        </w:rPr>
        <w:t xml:space="preserve">llegando a representar alrededor de dos tercios de los ingresos por hogar en el conjunto regional. Esto supondría </w:t>
      </w:r>
      <w:r w:rsidR="004D26E4">
        <w:rPr>
          <w:color w:val="323232"/>
        </w:rPr>
        <w:t xml:space="preserve">prácticamente la imposibilidad de acceder a una vivienda en propiedad, especialmente en los casos de Málaga y Cádiz. </w:t>
      </w:r>
      <w:r w:rsidR="00293D15">
        <w:rPr>
          <w:color w:val="323232"/>
        </w:rPr>
        <w:t xml:space="preserve">Entre la población de 30 a 39 años, la diferencia con relación a la ratio de acceso a la vivienda general no es muy significativa, aunque es algo superior (38,6% en Andalucía y 34,0% en España), y en cinco provincias (Málaga, Cádiz, Sevilla, Granada y Huelva) el esfuerzo superaría </w:t>
      </w:r>
      <w:r w:rsidR="002B3863">
        <w:rPr>
          <w:color w:val="323232"/>
        </w:rPr>
        <w:t>o se situaría en torno al lí</w:t>
      </w:r>
      <w:r w:rsidR="00293D15">
        <w:rPr>
          <w:color w:val="323232"/>
        </w:rPr>
        <w:t xml:space="preserve">mite del tercio de los ingresos. </w:t>
      </w:r>
    </w:p>
    <w:p w:rsidR="0030466D" w:rsidRDefault="00B473A4" w:rsidP="009A0446">
      <w:pPr>
        <w:jc w:val="both"/>
        <w:rPr>
          <w:color w:val="323232"/>
        </w:rPr>
      </w:pPr>
      <w:r>
        <w:rPr>
          <w:color w:val="323232"/>
        </w:rPr>
        <w:t xml:space="preserve">En todo caso, </w:t>
      </w:r>
      <w:r w:rsidR="003C0503">
        <w:rPr>
          <w:color w:val="323232"/>
        </w:rPr>
        <w:t>e independientemente de las diferencias que pued</w:t>
      </w:r>
      <w:r w:rsidR="002B3863">
        <w:rPr>
          <w:color w:val="323232"/>
        </w:rPr>
        <w:t>a</w:t>
      </w:r>
      <w:r w:rsidR="003C0503">
        <w:rPr>
          <w:color w:val="323232"/>
        </w:rPr>
        <w:t xml:space="preserve">n registrarse entre estimaciones, no cabe duda de que el esfuerzo de acceso a la compra de vivienda ha aumentado de forma significativa en 2023, </w:t>
      </w:r>
      <w:r w:rsidR="00D26F88">
        <w:rPr>
          <w:color w:val="323232"/>
        </w:rPr>
        <w:t xml:space="preserve">y en muchos casos supera el nivel de </w:t>
      </w:r>
      <w:r w:rsidR="00D26F88" w:rsidRPr="002B3863">
        <w:rPr>
          <w:color w:val="323232"/>
        </w:rPr>
        <w:t xml:space="preserve">esfuerzo </w:t>
      </w:r>
      <w:r w:rsidR="008555CA" w:rsidRPr="002B3863">
        <w:rPr>
          <w:color w:val="323232"/>
        </w:rPr>
        <w:t>recomenda</w:t>
      </w:r>
      <w:r w:rsidR="002B3863" w:rsidRPr="002B3863">
        <w:rPr>
          <w:color w:val="323232"/>
        </w:rPr>
        <w:t>ble</w:t>
      </w:r>
      <w:r w:rsidR="00D26F88" w:rsidRPr="002B3863">
        <w:rPr>
          <w:color w:val="323232"/>
        </w:rPr>
        <w:t xml:space="preserve">. </w:t>
      </w:r>
      <w:r w:rsidR="001179C3" w:rsidRPr="002B3863">
        <w:rPr>
          <w:color w:val="323232"/>
        </w:rPr>
        <w:t>En</w:t>
      </w:r>
      <w:r w:rsidR="001179C3">
        <w:rPr>
          <w:color w:val="323232"/>
        </w:rPr>
        <w:t xml:space="preserve"> este sentido, según el informe del cuarto trimestre de 2023 de Tinsa Research, Andalucía es una de las comunidades autónomas con mayor ratio de esfuerzo, junto con Baleares, Madrid, Navarra y Cataluña, siendo Málaga la segunda provincia española (tras Baleares) por nivel de esfuerzo y Cádiz la séptima.</w:t>
      </w:r>
    </w:p>
    <w:p w:rsidR="00886B04" w:rsidRDefault="00886B04">
      <w:pPr>
        <w:rPr>
          <w:color w:val="323232"/>
        </w:rPr>
      </w:pPr>
      <w:r>
        <w:rPr>
          <w:color w:val="323232"/>
        </w:rPr>
        <w:br w:type="page"/>
      </w:r>
    </w:p>
    <w:tbl>
      <w:tblPr>
        <w:tblW w:w="7082" w:type="dxa"/>
        <w:jc w:val="center"/>
        <w:tblCellMar>
          <w:left w:w="70" w:type="dxa"/>
          <w:right w:w="70" w:type="dxa"/>
        </w:tblCellMar>
        <w:tblLook w:val="04A0" w:firstRow="1" w:lastRow="0" w:firstColumn="1" w:lastColumn="0" w:noHBand="0" w:noVBand="1"/>
      </w:tblPr>
      <w:tblGrid>
        <w:gridCol w:w="1565"/>
        <w:gridCol w:w="847"/>
        <w:gridCol w:w="938"/>
        <w:gridCol w:w="1069"/>
        <w:gridCol w:w="198"/>
        <w:gridCol w:w="545"/>
        <w:gridCol w:w="938"/>
        <w:gridCol w:w="982"/>
      </w:tblGrid>
      <w:tr w:rsidR="007301FA" w:rsidRPr="007301FA" w:rsidTr="0085184B">
        <w:trPr>
          <w:jc w:val="center"/>
        </w:trPr>
        <w:tc>
          <w:tcPr>
            <w:tcW w:w="7082" w:type="dxa"/>
            <w:gridSpan w:val="8"/>
            <w:tcBorders>
              <w:top w:val="single" w:sz="2" w:space="0" w:color="70AD47" w:themeColor="accent6"/>
            </w:tcBorders>
            <w:shd w:val="clear" w:color="auto" w:fill="auto"/>
            <w:noWrap/>
            <w:vAlign w:val="bottom"/>
            <w:hideMark/>
          </w:tcPr>
          <w:p w:rsidR="007301FA" w:rsidRPr="007301FA" w:rsidRDefault="007301FA" w:rsidP="007301FA">
            <w:pPr>
              <w:spacing w:after="0" w:line="240" w:lineRule="auto"/>
              <w:rPr>
                <w:rFonts w:ascii="Times New Roman" w:eastAsia="Times New Roman" w:hAnsi="Times New Roman" w:cs="Times New Roman"/>
                <w:sz w:val="20"/>
                <w:szCs w:val="20"/>
                <w:lang w:eastAsia="es-ES"/>
              </w:rPr>
            </w:pPr>
            <w:r w:rsidRPr="007301FA">
              <w:rPr>
                <w:rFonts w:ascii="Calibri" w:eastAsia="Times New Roman" w:hAnsi="Calibri" w:cs="Calibri"/>
                <w:b/>
                <w:bCs/>
                <w:color w:val="000000"/>
                <w:sz w:val="20"/>
                <w:szCs w:val="20"/>
                <w:lang w:eastAsia="es-ES"/>
              </w:rPr>
              <w:lastRenderedPageBreak/>
              <w:t>Accesibilidad a la vivienda en Andalucía</w:t>
            </w:r>
          </w:p>
        </w:tc>
      </w:tr>
      <w:tr w:rsidR="007301FA" w:rsidRPr="007301FA" w:rsidTr="00717B0B">
        <w:trPr>
          <w:jc w:val="center"/>
        </w:trPr>
        <w:tc>
          <w:tcPr>
            <w:tcW w:w="1565" w:type="dxa"/>
            <w:shd w:val="clear" w:color="auto" w:fill="auto"/>
            <w:noWrap/>
            <w:vAlign w:val="bottom"/>
            <w:hideMark/>
          </w:tcPr>
          <w:p w:rsidR="007301FA" w:rsidRPr="007301FA" w:rsidRDefault="007301FA" w:rsidP="007301FA">
            <w:pPr>
              <w:spacing w:after="0" w:line="240" w:lineRule="auto"/>
              <w:rPr>
                <w:rFonts w:ascii="Times New Roman" w:eastAsia="Times New Roman" w:hAnsi="Times New Roman" w:cs="Times New Roman"/>
                <w:sz w:val="16"/>
                <w:szCs w:val="16"/>
                <w:lang w:eastAsia="es-ES"/>
              </w:rPr>
            </w:pPr>
          </w:p>
        </w:tc>
        <w:tc>
          <w:tcPr>
            <w:tcW w:w="2854" w:type="dxa"/>
            <w:gridSpan w:val="3"/>
            <w:shd w:val="clear" w:color="auto" w:fill="E2EFD9" w:themeFill="accent6" w:themeFillTint="33"/>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8"/>
                <w:szCs w:val="18"/>
                <w:lang w:eastAsia="es-ES"/>
              </w:rPr>
            </w:pPr>
            <w:r w:rsidRPr="007301FA">
              <w:rPr>
                <w:rFonts w:ascii="Calibri" w:eastAsia="Times New Roman" w:hAnsi="Calibri" w:cs="Calibri"/>
                <w:b/>
                <w:bCs/>
                <w:color w:val="000000"/>
                <w:sz w:val="18"/>
                <w:szCs w:val="18"/>
                <w:lang w:eastAsia="es-ES"/>
              </w:rPr>
              <w:t>Compra. Esfuerzo teórico anual (%)</w:t>
            </w:r>
          </w:p>
        </w:tc>
        <w:tc>
          <w:tcPr>
            <w:tcW w:w="198" w:type="dxa"/>
            <w:shd w:val="clear" w:color="auto" w:fill="E2EFD9" w:themeFill="accent6" w:themeFillTint="33"/>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8"/>
                <w:szCs w:val="18"/>
                <w:lang w:eastAsia="es-ES"/>
              </w:rPr>
            </w:pPr>
          </w:p>
        </w:tc>
        <w:tc>
          <w:tcPr>
            <w:tcW w:w="2465" w:type="dxa"/>
            <w:gridSpan w:val="3"/>
            <w:shd w:val="clear" w:color="auto" w:fill="E2EFD9" w:themeFill="accent6" w:themeFillTint="33"/>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8"/>
                <w:szCs w:val="18"/>
                <w:lang w:eastAsia="es-ES"/>
              </w:rPr>
            </w:pPr>
            <w:r w:rsidRPr="007301FA">
              <w:rPr>
                <w:rFonts w:ascii="Calibri" w:eastAsia="Times New Roman" w:hAnsi="Calibri" w:cs="Calibri"/>
                <w:b/>
                <w:bCs/>
                <w:color w:val="000000"/>
                <w:sz w:val="18"/>
                <w:szCs w:val="18"/>
                <w:lang w:eastAsia="es-ES"/>
              </w:rPr>
              <w:t>Alquiler (% ingresos hogar)</w:t>
            </w:r>
          </w:p>
        </w:tc>
      </w:tr>
      <w:tr w:rsidR="007301FA" w:rsidRPr="007301FA" w:rsidTr="00717B0B">
        <w:trPr>
          <w:jc w:val="center"/>
        </w:trPr>
        <w:tc>
          <w:tcPr>
            <w:tcW w:w="1565" w:type="dxa"/>
            <w:shd w:val="clear" w:color="auto" w:fill="auto"/>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6"/>
                <w:szCs w:val="16"/>
                <w:lang w:eastAsia="es-ES"/>
              </w:rPr>
            </w:pPr>
          </w:p>
        </w:tc>
        <w:tc>
          <w:tcPr>
            <w:tcW w:w="847" w:type="dxa"/>
            <w:vMerge w:val="restart"/>
            <w:shd w:val="clear" w:color="auto" w:fill="E2EFD9" w:themeFill="accent6" w:themeFillTint="33"/>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6"/>
                <w:szCs w:val="16"/>
                <w:lang w:eastAsia="es-ES"/>
              </w:rPr>
            </w:pPr>
            <w:r w:rsidRPr="007301FA">
              <w:rPr>
                <w:rFonts w:ascii="Calibri" w:eastAsia="Times New Roman" w:hAnsi="Calibri" w:cs="Calibri"/>
                <w:b/>
                <w:bCs/>
                <w:color w:val="000000"/>
                <w:sz w:val="16"/>
                <w:szCs w:val="16"/>
                <w:lang w:eastAsia="es-ES"/>
              </w:rPr>
              <w:t>2023</w:t>
            </w:r>
          </w:p>
        </w:tc>
        <w:tc>
          <w:tcPr>
            <w:tcW w:w="2007" w:type="dxa"/>
            <w:gridSpan w:val="2"/>
            <w:shd w:val="clear" w:color="auto" w:fill="E2EFD9" w:themeFill="accent6" w:themeFillTint="33"/>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6"/>
                <w:szCs w:val="16"/>
                <w:lang w:eastAsia="es-ES"/>
              </w:rPr>
            </w:pPr>
            <w:r w:rsidRPr="007301FA">
              <w:rPr>
                <w:rFonts w:ascii="Calibri" w:eastAsia="Times New Roman" w:hAnsi="Calibri" w:cs="Calibri"/>
                <w:b/>
                <w:bCs/>
                <w:color w:val="000000"/>
                <w:sz w:val="16"/>
                <w:szCs w:val="16"/>
                <w:lang w:eastAsia="es-ES"/>
              </w:rPr>
              <w:t>Diferencias en p.p.</w:t>
            </w:r>
          </w:p>
        </w:tc>
        <w:tc>
          <w:tcPr>
            <w:tcW w:w="198" w:type="dxa"/>
            <w:shd w:val="clear" w:color="auto" w:fill="E2EFD9" w:themeFill="accent6" w:themeFillTint="33"/>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6"/>
                <w:szCs w:val="16"/>
                <w:lang w:eastAsia="es-ES"/>
              </w:rPr>
            </w:pPr>
          </w:p>
        </w:tc>
        <w:tc>
          <w:tcPr>
            <w:tcW w:w="545" w:type="dxa"/>
            <w:vMerge w:val="restart"/>
            <w:shd w:val="clear" w:color="auto" w:fill="E2EFD9" w:themeFill="accent6" w:themeFillTint="33"/>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6"/>
                <w:szCs w:val="16"/>
                <w:lang w:eastAsia="es-ES"/>
              </w:rPr>
            </w:pPr>
            <w:r w:rsidRPr="007301FA">
              <w:rPr>
                <w:rFonts w:ascii="Calibri" w:eastAsia="Times New Roman" w:hAnsi="Calibri" w:cs="Calibri"/>
                <w:b/>
                <w:bCs/>
                <w:color w:val="000000"/>
                <w:sz w:val="16"/>
                <w:szCs w:val="16"/>
                <w:lang w:eastAsia="es-ES"/>
              </w:rPr>
              <w:t>2023</w:t>
            </w:r>
          </w:p>
        </w:tc>
        <w:tc>
          <w:tcPr>
            <w:tcW w:w="1920" w:type="dxa"/>
            <w:gridSpan w:val="2"/>
            <w:shd w:val="clear" w:color="auto" w:fill="E2EFD9" w:themeFill="accent6" w:themeFillTint="33"/>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6"/>
                <w:szCs w:val="16"/>
                <w:lang w:eastAsia="es-ES"/>
              </w:rPr>
            </w:pPr>
            <w:r w:rsidRPr="007301FA">
              <w:rPr>
                <w:rFonts w:ascii="Calibri" w:eastAsia="Times New Roman" w:hAnsi="Calibri" w:cs="Calibri"/>
                <w:b/>
                <w:bCs/>
                <w:color w:val="000000"/>
                <w:sz w:val="16"/>
                <w:szCs w:val="16"/>
                <w:lang w:eastAsia="es-ES"/>
              </w:rPr>
              <w:t>Diferencias en p.p.</w:t>
            </w:r>
          </w:p>
        </w:tc>
      </w:tr>
      <w:tr w:rsidR="007301FA" w:rsidRPr="007301FA" w:rsidTr="00717B0B">
        <w:trPr>
          <w:jc w:val="center"/>
        </w:trPr>
        <w:tc>
          <w:tcPr>
            <w:tcW w:w="1565" w:type="dxa"/>
            <w:shd w:val="clear" w:color="auto" w:fill="auto"/>
            <w:noWrap/>
            <w:vAlign w:val="bottom"/>
            <w:hideMark/>
          </w:tcPr>
          <w:p w:rsidR="007301FA" w:rsidRPr="007301FA" w:rsidRDefault="007301FA" w:rsidP="007301FA">
            <w:pPr>
              <w:spacing w:after="0" w:line="240" w:lineRule="auto"/>
              <w:jc w:val="center"/>
              <w:rPr>
                <w:rFonts w:ascii="Calibri" w:eastAsia="Times New Roman" w:hAnsi="Calibri" w:cs="Calibri"/>
                <w:b/>
                <w:bCs/>
                <w:color w:val="000000"/>
                <w:sz w:val="16"/>
                <w:szCs w:val="16"/>
                <w:lang w:eastAsia="es-ES"/>
              </w:rPr>
            </w:pPr>
          </w:p>
        </w:tc>
        <w:tc>
          <w:tcPr>
            <w:tcW w:w="847" w:type="dxa"/>
            <w:vMerge/>
            <w:shd w:val="clear" w:color="auto" w:fill="E2EFD9" w:themeFill="accent6" w:themeFillTint="33"/>
            <w:vAlign w:val="center"/>
            <w:hideMark/>
          </w:tcPr>
          <w:p w:rsidR="007301FA" w:rsidRPr="007301FA" w:rsidRDefault="007301FA" w:rsidP="007301FA">
            <w:pPr>
              <w:spacing w:after="0" w:line="240" w:lineRule="auto"/>
              <w:rPr>
                <w:rFonts w:ascii="Calibri" w:eastAsia="Times New Roman" w:hAnsi="Calibri" w:cs="Calibri"/>
                <w:b/>
                <w:bCs/>
                <w:color w:val="000000"/>
                <w:sz w:val="16"/>
                <w:szCs w:val="16"/>
                <w:lang w:eastAsia="es-ES"/>
              </w:rPr>
            </w:pPr>
          </w:p>
        </w:tc>
        <w:tc>
          <w:tcPr>
            <w:tcW w:w="938" w:type="dxa"/>
            <w:shd w:val="clear" w:color="auto" w:fill="E2EFD9" w:themeFill="accent6" w:themeFillTint="33"/>
            <w:noWrap/>
            <w:vAlign w:val="bottom"/>
            <w:hideMark/>
          </w:tcPr>
          <w:p w:rsidR="007301FA" w:rsidRPr="007301FA" w:rsidRDefault="007301FA" w:rsidP="007301FA">
            <w:pPr>
              <w:spacing w:after="0" w:line="240" w:lineRule="auto"/>
              <w:jc w:val="right"/>
              <w:rPr>
                <w:rFonts w:ascii="Calibri" w:eastAsia="Times New Roman" w:hAnsi="Calibri" w:cs="Calibri"/>
                <w:b/>
                <w:bCs/>
                <w:color w:val="000000"/>
                <w:sz w:val="16"/>
                <w:szCs w:val="16"/>
                <w:lang w:eastAsia="es-ES"/>
              </w:rPr>
            </w:pPr>
            <w:r w:rsidRPr="007301FA">
              <w:rPr>
                <w:rFonts w:ascii="Calibri" w:eastAsia="Times New Roman" w:hAnsi="Calibri" w:cs="Calibri"/>
                <w:b/>
                <w:bCs/>
                <w:color w:val="000000"/>
                <w:sz w:val="16"/>
                <w:szCs w:val="16"/>
                <w:lang w:eastAsia="es-ES"/>
              </w:rPr>
              <w:t>2023/2017</w:t>
            </w:r>
          </w:p>
        </w:tc>
        <w:tc>
          <w:tcPr>
            <w:tcW w:w="1069" w:type="dxa"/>
            <w:shd w:val="clear" w:color="auto" w:fill="E2EFD9" w:themeFill="accent6" w:themeFillTint="33"/>
            <w:noWrap/>
            <w:vAlign w:val="bottom"/>
            <w:hideMark/>
          </w:tcPr>
          <w:p w:rsidR="007301FA" w:rsidRPr="007301FA" w:rsidRDefault="007301FA" w:rsidP="007301FA">
            <w:pPr>
              <w:spacing w:after="0" w:line="240" w:lineRule="auto"/>
              <w:jc w:val="right"/>
              <w:rPr>
                <w:rFonts w:ascii="Calibri" w:eastAsia="Times New Roman" w:hAnsi="Calibri" w:cs="Calibri"/>
                <w:b/>
                <w:bCs/>
                <w:color w:val="000000"/>
                <w:sz w:val="16"/>
                <w:szCs w:val="16"/>
                <w:lang w:eastAsia="es-ES"/>
              </w:rPr>
            </w:pPr>
            <w:r w:rsidRPr="007301FA">
              <w:rPr>
                <w:rFonts w:ascii="Calibri" w:eastAsia="Times New Roman" w:hAnsi="Calibri" w:cs="Calibri"/>
                <w:b/>
                <w:bCs/>
                <w:color w:val="000000"/>
                <w:sz w:val="16"/>
                <w:szCs w:val="16"/>
                <w:lang w:eastAsia="es-ES"/>
              </w:rPr>
              <w:t>2023/2022</w:t>
            </w:r>
          </w:p>
        </w:tc>
        <w:tc>
          <w:tcPr>
            <w:tcW w:w="198" w:type="dxa"/>
            <w:shd w:val="clear" w:color="auto" w:fill="E2EFD9" w:themeFill="accent6" w:themeFillTint="33"/>
            <w:noWrap/>
            <w:vAlign w:val="bottom"/>
            <w:hideMark/>
          </w:tcPr>
          <w:p w:rsidR="007301FA" w:rsidRPr="007301FA" w:rsidRDefault="007301FA" w:rsidP="007301FA">
            <w:pPr>
              <w:spacing w:after="0" w:line="240" w:lineRule="auto"/>
              <w:jc w:val="right"/>
              <w:rPr>
                <w:rFonts w:ascii="Calibri" w:eastAsia="Times New Roman" w:hAnsi="Calibri" w:cs="Calibri"/>
                <w:b/>
                <w:bCs/>
                <w:color w:val="000000"/>
                <w:sz w:val="16"/>
                <w:szCs w:val="16"/>
                <w:lang w:eastAsia="es-ES"/>
              </w:rPr>
            </w:pPr>
          </w:p>
        </w:tc>
        <w:tc>
          <w:tcPr>
            <w:tcW w:w="545" w:type="dxa"/>
            <w:vMerge/>
            <w:shd w:val="clear" w:color="auto" w:fill="E2EFD9" w:themeFill="accent6" w:themeFillTint="33"/>
            <w:vAlign w:val="center"/>
            <w:hideMark/>
          </w:tcPr>
          <w:p w:rsidR="007301FA" w:rsidRPr="007301FA" w:rsidRDefault="007301FA" w:rsidP="007301FA">
            <w:pPr>
              <w:spacing w:after="0" w:line="240" w:lineRule="auto"/>
              <w:jc w:val="right"/>
              <w:rPr>
                <w:rFonts w:ascii="Calibri" w:eastAsia="Times New Roman" w:hAnsi="Calibri" w:cs="Calibri"/>
                <w:b/>
                <w:bCs/>
                <w:color w:val="000000"/>
                <w:sz w:val="16"/>
                <w:szCs w:val="16"/>
                <w:lang w:eastAsia="es-ES"/>
              </w:rPr>
            </w:pPr>
          </w:p>
        </w:tc>
        <w:tc>
          <w:tcPr>
            <w:tcW w:w="938" w:type="dxa"/>
            <w:shd w:val="clear" w:color="auto" w:fill="E2EFD9" w:themeFill="accent6" w:themeFillTint="33"/>
            <w:noWrap/>
            <w:vAlign w:val="bottom"/>
            <w:hideMark/>
          </w:tcPr>
          <w:p w:rsidR="007301FA" w:rsidRPr="007301FA" w:rsidRDefault="007301FA" w:rsidP="007301FA">
            <w:pPr>
              <w:spacing w:after="0" w:line="240" w:lineRule="auto"/>
              <w:jc w:val="right"/>
              <w:rPr>
                <w:rFonts w:ascii="Calibri" w:eastAsia="Times New Roman" w:hAnsi="Calibri" w:cs="Calibri"/>
                <w:b/>
                <w:bCs/>
                <w:color w:val="000000"/>
                <w:sz w:val="16"/>
                <w:szCs w:val="16"/>
                <w:lang w:eastAsia="es-ES"/>
              </w:rPr>
            </w:pPr>
            <w:r w:rsidRPr="007301FA">
              <w:rPr>
                <w:rFonts w:ascii="Calibri" w:eastAsia="Times New Roman" w:hAnsi="Calibri" w:cs="Calibri"/>
                <w:b/>
                <w:bCs/>
                <w:color w:val="000000"/>
                <w:sz w:val="16"/>
                <w:szCs w:val="16"/>
                <w:lang w:eastAsia="es-ES"/>
              </w:rPr>
              <w:t>2023/2017</w:t>
            </w:r>
          </w:p>
        </w:tc>
        <w:tc>
          <w:tcPr>
            <w:tcW w:w="982" w:type="dxa"/>
            <w:shd w:val="clear" w:color="auto" w:fill="E2EFD9" w:themeFill="accent6" w:themeFillTint="33"/>
            <w:noWrap/>
            <w:vAlign w:val="bottom"/>
            <w:hideMark/>
          </w:tcPr>
          <w:p w:rsidR="007301FA" w:rsidRPr="007301FA" w:rsidRDefault="007301FA" w:rsidP="007301FA">
            <w:pPr>
              <w:spacing w:after="0" w:line="240" w:lineRule="auto"/>
              <w:jc w:val="right"/>
              <w:rPr>
                <w:rFonts w:ascii="Calibri" w:eastAsia="Times New Roman" w:hAnsi="Calibri" w:cs="Calibri"/>
                <w:b/>
                <w:bCs/>
                <w:color w:val="000000"/>
                <w:sz w:val="16"/>
                <w:szCs w:val="16"/>
                <w:lang w:eastAsia="es-ES"/>
              </w:rPr>
            </w:pPr>
            <w:r w:rsidRPr="007301FA">
              <w:rPr>
                <w:rFonts w:ascii="Calibri" w:eastAsia="Times New Roman" w:hAnsi="Calibri" w:cs="Calibri"/>
                <w:b/>
                <w:bCs/>
                <w:color w:val="000000"/>
                <w:sz w:val="16"/>
                <w:szCs w:val="16"/>
                <w:lang w:eastAsia="es-ES"/>
              </w:rPr>
              <w:t>2023/2022</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ESPAÑA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33,2</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1,3</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5,1</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46,2</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-0,4</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1,3</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ANDALUCÍA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37,1</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1,2</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6,3</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54,0</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3,0</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b/>
                <w:bCs/>
                <w:i/>
                <w:iCs/>
                <w:color w:val="000000"/>
                <w:sz w:val="16"/>
                <w:szCs w:val="16"/>
                <w:lang w:eastAsia="es-ES"/>
              </w:rPr>
            </w:pPr>
            <w:r w:rsidRPr="007301FA">
              <w:rPr>
                <w:rFonts w:ascii="Calibri" w:eastAsia="Times New Roman" w:hAnsi="Calibri" w:cs="Calibri"/>
                <w:b/>
                <w:bCs/>
                <w:i/>
                <w:iCs/>
                <w:color w:val="000000"/>
                <w:sz w:val="16"/>
                <w:szCs w:val="16"/>
                <w:lang w:eastAsia="es-ES"/>
              </w:rPr>
              <w:t>2,7</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Almería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28,8</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-1,1</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4,3</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37,8</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1,8</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0,3</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Cádiz</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43,4</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0,7</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7,0</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54,5</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-1,2</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0,3</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Córdoba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29,1</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-5,8</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3,7</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40,7</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-6,6</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-0,6</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Granada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32,9</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0,0</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5,1</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48,1</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-0,1</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1,5</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Huelva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31,4</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-0,4</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5,0</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46,1</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-2,0</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0,1</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Jaén</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23,9</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-2,9</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3,6</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35,8</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0,0</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1,9</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Málaga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51,7</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6,4</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9,3</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66,5</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8,8</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6,4</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Sevilla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32,6</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0,1</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5,7</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45,9</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-3,2</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-0,1</w:t>
            </w:r>
          </w:p>
        </w:tc>
      </w:tr>
      <w:tr w:rsidR="007301FA" w:rsidRPr="007301FA" w:rsidTr="007301FA">
        <w:trPr>
          <w:jc w:val="center"/>
        </w:trPr>
        <w:tc>
          <w:tcPr>
            <w:tcW w:w="3350" w:type="dxa"/>
            <w:gridSpan w:val="3"/>
            <w:shd w:val="clear" w:color="auto" w:fill="auto"/>
            <w:noWrap/>
            <w:vAlign w:val="bottom"/>
            <w:hideMark/>
          </w:tcPr>
          <w:p w:rsidR="007301FA" w:rsidRPr="007301FA" w:rsidRDefault="007301FA" w:rsidP="007301FA">
            <w:pPr>
              <w:spacing w:after="0" w:line="240" w:lineRule="auto"/>
              <w:rPr>
                <w:rFonts w:ascii="Calibri" w:eastAsia="Times New Roman" w:hAnsi="Calibri" w:cs="Calibri"/>
                <w:b/>
                <w:i/>
                <w:iCs/>
                <w:color w:val="000000"/>
                <w:sz w:val="16"/>
                <w:szCs w:val="16"/>
                <w:lang w:eastAsia="es-ES"/>
              </w:rPr>
            </w:pPr>
            <w:r w:rsidRPr="007301FA">
              <w:rPr>
                <w:rFonts w:ascii="Calibri" w:eastAsia="Times New Roman" w:hAnsi="Calibri" w:cs="Calibri"/>
                <w:b/>
                <w:i/>
                <w:iCs/>
                <w:color w:val="000000"/>
                <w:sz w:val="16"/>
                <w:szCs w:val="16"/>
                <w:lang w:eastAsia="es-ES"/>
              </w:rPr>
              <w:t>Municipios mayores de 100.000 habitantes</w:t>
            </w:r>
          </w:p>
        </w:tc>
        <w:tc>
          <w:tcPr>
            <w:tcW w:w="1069" w:type="dxa"/>
            <w:shd w:val="clear" w:color="auto" w:fill="auto"/>
            <w:noWrap/>
            <w:vAlign w:val="bottom"/>
            <w:hideMark/>
          </w:tcPr>
          <w:p w:rsidR="007301FA" w:rsidRPr="007301FA" w:rsidRDefault="007301FA" w:rsidP="007301FA">
            <w:pPr>
              <w:spacing w:after="0" w:line="240" w:lineRule="auto"/>
              <w:rPr>
                <w:rFonts w:ascii="Calibri" w:eastAsia="Times New Roman" w:hAnsi="Calibri" w:cs="Calibri"/>
                <w:i/>
                <w:iCs/>
                <w:color w:val="000000"/>
                <w:sz w:val="16"/>
                <w:szCs w:val="16"/>
                <w:lang w:eastAsia="es-ES"/>
              </w:rPr>
            </w:pPr>
          </w:p>
        </w:tc>
        <w:tc>
          <w:tcPr>
            <w:tcW w:w="198" w:type="dxa"/>
            <w:shd w:val="clear" w:color="auto" w:fill="auto"/>
            <w:noWrap/>
            <w:vAlign w:val="bottom"/>
            <w:hideMark/>
          </w:tcPr>
          <w:p w:rsidR="007301FA" w:rsidRPr="007301FA" w:rsidRDefault="007301FA" w:rsidP="007301FA">
            <w:pPr>
              <w:spacing w:after="0" w:line="240" w:lineRule="auto"/>
              <w:rPr>
                <w:rFonts w:ascii="Times New Roman" w:eastAsia="Times New Roman" w:hAnsi="Times New Roman" w:cs="Times New Roman"/>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rPr>
                <w:rFonts w:ascii="Times New Roman" w:eastAsia="Times New Roman" w:hAnsi="Times New Roman" w:cs="Times New Roman"/>
                <w:sz w:val="16"/>
                <w:szCs w:val="16"/>
                <w:lang w:eastAsia="es-ES"/>
              </w:rPr>
            </w:pPr>
          </w:p>
        </w:tc>
        <w:tc>
          <w:tcPr>
            <w:tcW w:w="938" w:type="dxa"/>
            <w:shd w:val="clear" w:color="auto" w:fill="auto"/>
            <w:noWrap/>
            <w:vAlign w:val="bottom"/>
            <w:hideMark/>
          </w:tcPr>
          <w:p w:rsidR="007301FA" w:rsidRPr="007301FA" w:rsidRDefault="007301FA" w:rsidP="007301FA">
            <w:pPr>
              <w:spacing w:after="0" w:line="240" w:lineRule="auto"/>
              <w:rPr>
                <w:rFonts w:ascii="Times New Roman" w:eastAsia="Times New Roman" w:hAnsi="Times New Roman" w:cs="Times New Roman"/>
                <w:sz w:val="16"/>
                <w:szCs w:val="16"/>
                <w:lang w:eastAsia="es-ES"/>
              </w:rPr>
            </w:pPr>
          </w:p>
        </w:tc>
        <w:tc>
          <w:tcPr>
            <w:tcW w:w="982" w:type="dxa"/>
            <w:shd w:val="clear" w:color="auto" w:fill="auto"/>
            <w:noWrap/>
            <w:vAlign w:val="bottom"/>
            <w:hideMark/>
          </w:tcPr>
          <w:p w:rsidR="007301FA" w:rsidRPr="007301FA" w:rsidRDefault="007301FA" w:rsidP="007301FA">
            <w:pPr>
              <w:spacing w:after="0" w:line="240" w:lineRule="auto"/>
              <w:rPr>
                <w:rFonts w:ascii="Times New Roman" w:eastAsia="Times New Roman" w:hAnsi="Times New Roman" w:cs="Times New Roman"/>
                <w:sz w:val="16"/>
                <w:szCs w:val="16"/>
                <w:lang w:eastAsia="es-ES"/>
              </w:rPr>
            </w:pP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 xml:space="preserve">Almería </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29,5</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3,4</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5,5</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36,9</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2,6</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0,7</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Roquetas de Mar</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27,4</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2,5</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4,1</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35,4</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-0,2</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0,0</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Algeciras</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26,0</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5,3</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3,8</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34,3</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0,9</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-0,8</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Cádiz</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63,4</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13,8</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11,8</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60,3</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3,1</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0,2</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Jerez de la Frontera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32,7</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3,8</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6,5</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46,2</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1,3</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1,0</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Córdoba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29,8</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0,3</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3,7</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32,6</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-7,5</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-4,1</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Granada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40,9</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6,7</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6,4</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43,8</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1,8</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1,6</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 xml:space="preserve">Huelva </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28,3</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3,0</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5,2</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39,3</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0,2</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-0,6</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 xml:space="preserve">Jaén </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24,7</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0,1</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3,8</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31,0</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0,4</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1,1</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 xml:space="preserve">Málaga </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47,3</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13,4</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9,7</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57,1</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3,8</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6,2</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Marbella</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71,6</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17,4</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14,5</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77,9</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12,4</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5,1</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 xml:space="preserve">Dos Hermanas </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27,8</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3,6</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4,9</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32,2</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0,7</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0,8</w:t>
            </w:r>
          </w:p>
        </w:tc>
      </w:tr>
      <w:tr w:rsidR="007301FA" w:rsidRPr="007301FA" w:rsidTr="007F0F03">
        <w:trPr>
          <w:jc w:val="center"/>
        </w:trPr>
        <w:tc>
          <w:tcPr>
            <w:tcW w:w="1565" w:type="dxa"/>
            <w:shd w:val="clear" w:color="auto" w:fill="E2EFD9" w:themeFill="accent6" w:themeFillTint="33"/>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 xml:space="preserve">Sevilla </w:t>
            </w:r>
          </w:p>
        </w:tc>
        <w:tc>
          <w:tcPr>
            <w:tcW w:w="847"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40,5</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7,1</w:t>
            </w:r>
          </w:p>
        </w:tc>
        <w:tc>
          <w:tcPr>
            <w:tcW w:w="1069"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6,3</w:t>
            </w:r>
          </w:p>
        </w:tc>
        <w:tc>
          <w:tcPr>
            <w:tcW w:w="19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p>
        </w:tc>
        <w:tc>
          <w:tcPr>
            <w:tcW w:w="545"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46,5</w:t>
            </w:r>
          </w:p>
        </w:tc>
        <w:tc>
          <w:tcPr>
            <w:tcW w:w="938"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-2,3</w:t>
            </w:r>
          </w:p>
        </w:tc>
        <w:tc>
          <w:tcPr>
            <w:tcW w:w="982" w:type="dxa"/>
            <w:shd w:val="clear" w:color="auto" w:fill="auto"/>
            <w:noWrap/>
            <w:vAlign w:val="bottom"/>
            <w:hideMark/>
          </w:tcPr>
          <w:p w:rsidR="007301FA" w:rsidRPr="007301FA" w:rsidRDefault="007301FA" w:rsidP="007301FA">
            <w:pPr>
              <w:spacing w:after="0" w:line="240" w:lineRule="auto"/>
              <w:jc w:val="right"/>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0,1</w:t>
            </w:r>
          </w:p>
        </w:tc>
      </w:tr>
      <w:tr w:rsidR="007301FA" w:rsidRPr="007301FA" w:rsidTr="0085184B">
        <w:trPr>
          <w:jc w:val="center"/>
        </w:trPr>
        <w:tc>
          <w:tcPr>
            <w:tcW w:w="7082" w:type="dxa"/>
            <w:gridSpan w:val="8"/>
            <w:tcBorders>
              <w:bottom w:val="single" w:sz="2" w:space="0" w:color="70AD47" w:themeColor="accent6"/>
            </w:tcBorders>
            <w:shd w:val="clear" w:color="auto" w:fill="auto"/>
            <w:noWrap/>
            <w:vAlign w:val="bottom"/>
            <w:hideMark/>
          </w:tcPr>
          <w:p w:rsidR="007301FA" w:rsidRPr="007301FA" w:rsidRDefault="007301FA" w:rsidP="007301FA">
            <w:pPr>
              <w:spacing w:after="0" w:line="240" w:lineRule="auto"/>
              <w:rPr>
                <w:rFonts w:ascii="Calibri" w:eastAsia="Times New Roman" w:hAnsi="Calibri" w:cs="Calibri"/>
                <w:color w:val="000000"/>
                <w:sz w:val="16"/>
                <w:szCs w:val="16"/>
                <w:lang w:eastAsia="es-ES"/>
              </w:rPr>
            </w:pPr>
            <w:r w:rsidRPr="007301FA">
              <w:rPr>
                <w:rFonts w:ascii="Calibri" w:eastAsia="Times New Roman" w:hAnsi="Calibri" w:cs="Calibri"/>
                <w:color w:val="000000"/>
                <w:sz w:val="16"/>
                <w:szCs w:val="16"/>
                <w:lang w:eastAsia="es-ES"/>
              </w:rPr>
              <w:t xml:space="preserve">Fuente: </w:t>
            </w:r>
            <w:r w:rsidRPr="00970ABD">
              <w:rPr>
                <w:rFonts w:ascii="Calibri" w:eastAsia="Times New Roman" w:hAnsi="Calibri" w:cs="Calibri"/>
                <w:i/>
                <w:color w:val="000000"/>
                <w:sz w:val="16"/>
                <w:szCs w:val="16"/>
                <w:lang w:eastAsia="es-ES"/>
              </w:rPr>
              <w:t>Analistas Económicos de Andalucía</w:t>
            </w:r>
            <w:r w:rsidRPr="007301FA">
              <w:rPr>
                <w:rFonts w:ascii="Calibri" w:eastAsia="Times New Roman" w:hAnsi="Calibri" w:cs="Calibri"/>
                <w:color w:val="000000"/>
                <w:sz w:val="16"/>
                <w:szCs w:val="16"/>
                <w:lang w:eastAsia="es-ES"/>
              </w:rPr>
              <w:t xml:space="preserve"> a partir de datos del Banco de España, IECA, INE, Ministerio de Vivienda y Agenda Urbana y Portal Idealista.</w:t>
            </w:r>
          </w:p>
        </w:tc>
      </w:tr>
    </w:tbl>
    <w:p w:rsidR="007301FA" w:rsidRDefault="007301FA" w:rsidP="009A0446">
      <w:pPr>
        <w:jc w:val="both"/>
        <w:rPr>
          <w:color w:val="323232"/>
        </w:rPr>
      </w:pPr>
    </w:p>
    <w:tbl>
      <w:tblPr>
        <w:tblW w:w="7083" w:type="dxa"/>
        <w:jc w:val="center"/>
        <w:tblCellMar>
          <w:left w:w="70" w:type="dxa"/>
          <w:right w:w="70" w:type="dxa"/>
        </w:tblCellMar>
        <w:tblLook w:val="04A0" w:firstRow="1" w:lastRow="0" w:firstColumn="1" w:lastColumn="0" w:noHBand="0" w:noVBand="1"/>
      </w:tblPr>
      <w:tblGrid>
        <w:gridCol w:w="1696"/>
        <w:gridCol w:w="709"/>
        <w:gridCol w:w="858"/>
        <w:gridCol w:w="1229"/>
        <w:gridCol w:w="160"/>
        <w:gridCol w:w="584"/>
        <w:gridCol w:w="938"/>
        <w:gridCol w:w="909"/>
      </w:tblGrid>
      <w:tr w:rsidR="0030466D" w:rsidRPr="0030466D" w:rsidTr="00D41ACA">
        <w:trPr>
          <w:jc w:val="center"/>
        </w:trPr>
        <w:tc>
          <w:tcPr>
            <w:tcW w:w="5236" w:type="dxa"/>
            <w:gridSpan w:val="6"/>
            <w:tcBorders>
              <w:top w:val="single" w:sz="2" w:space="0" w:color="70AD47" w:themeColor="accent6"/>
            </w:tcBorders>
            <w:shd w:val="clear" w:color="auto" w:fill="auto"/>
            <w:noWrap/>
            <w:vAlign w:val="bottom"/>
            <w:hideMark/>
          </w:tcPr>
          <w:p w:rsidR="0030466D" w:rsidRPr="0030466D" w:rsidRDefault="0030466D" w:rsidP="0030466D">
            <w:pPr>
              <w:spacing w:after="0" w:line="240" w:lineRule="auto"/>
              <w:rPr>
                <w:rFonts w:ascii="Calibri" w:eastAsia="Times New Roman" w:hAnsi="Calibri" w:cs="Calibri"/>
                <w:b/>
                <w:bCs/>
                <w:color w:val="000000"/>
                <w:sz w:val="20"/>
                <w:szCs w:val="20"/>
                <w:lang w:eastAsia="es-ES"/>
              </w:rPr>
            </w:pPr>
            <w:r w:rsidRPr="0030466D">
              <w:rPr>
                <w:rFonts w:ascii="Calibri" w:eastAsia="Times New Roman" w:hAnsi="Calibri" w:cs="Calibri"/>
                <w:b/>
                <w:bCs/>
                <w:color w:val="000000"/>
                <w:sz w:val="20"/>
                <w:szCs w:val="20"/>
                <w:lang w:eastAsia="es-ES"/>
              </w:rPr>
              <w:t>Accesibilidad a la vivienda en Andalucía por tramos de edad</w:t>
            </w:r>
          </w:p>
        </w:tc>
        <w:tc>
          <w:tcPr>
            <w:tcW w:w="938" w:type="dxa"/>
            <w:tcBorders>
              <w:top w:val="single" w:sz="2" w:space="0" w:color="70AD47" w:themeColor="accent6"/>
            </w:tcBorders>
            <w:shd w:val="clear" w:color="auto" w:fill="auto"/>
            <w:noWrap/>
            <w:vAlign w:val="bottom"/>
            <w:hideMark/>
          </w:tcPr>
          <w:p w:rsidR="0030466D" w:rsidRPr="0030466D" w:rsidRDefault="0030466D" w:rsidP="0030466D">
            <w:pPr>
              <w:spacing w:after="0" w:line="240" w:lineRule="auto"/>
              <w:rPr>
                <w:rFonts w:ascii="Calibri" w:eastAsia="Times New Roman" w:hAnsi="Calibri" w:cs="Calibri"/>
                <w:b/>
                <w:bCs/>
                <w:color w:val="000000"/>
                <w:sz w:val="16"/>
                <w:szCs w:val="16"/>
                <w:lang w:eastAsia="es-ES"/>
              </w:rPr>
            </w:pPr>
          </w:p>
        </w:tc>
        <w:tc>
          <w:tcPr>
            <w:tcW w:w="909" w:type="dxa"/>
            <w:tcBorders>
              <w:top w:val="single" w:sz="2" w:space="0" w:color="70AD47" w:themeColor="accent6"/>
            </w:tcBorders>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r>
      <w:tr w:rsidR="0030466D" w:rsidRPr="0030466D" w:rsidTr="00717B0B">
        <w:trPr>
          <w:jc w:val="center"/>
        </w:trPr>
        <w:tc>
          <w:tcPr>
            <w:tcW w:w="1696"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c>
          <w:tcPr>
            <w:tcW w:w="2796" w:type="dxa"/>
            <w:gridSpan w:val="3"/>
            <w:shd w:val="clear" w:color="auto" w:fill="E2EFD9" w:themeFill="accent6" w:themeFillTint="33"/>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8"/>
                <w:szCs w:val="18"/>
                <w:lang w:eastAsia="es-ES"/>
              </w:rPr>
            </w:pPr>
            <w:r w:rsidRPr="0030466D">
              <w:rPr>
                <w:rFonts w:ascii="Calibri" w:eastAsia="Times New Roman" w:hAnsi="Calibri" w:cs="Calibri"/>
                <w:b/>
                <w:bCs/>
                <w:color w:val="000000"/>
                <w:sz w:val="18"/>
                <w:szCs w:val="18"/>
                <w:lang w:eastAsia="es-ES"/>
              </w:rPr>
              <w:t>Compra. Esfuerzo teórico anual (%)</w:t>
            </w:r>
          </w:p>
        </w:tc>
        <w:tc>
          <w:tcPr>
            <w:tcW w:w="160" w:type="dxa"/>
            <w:shd w:val="clear" w:color="auto" w:fill="E2EFD9" w:themeFill="accent6" w:themeFillTint="33"/>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8"/>
                <w:szCs w:val="18"/>
                <w:lang w:eastAsia="es-ES"/>
              </w:rPr>
            </w:pPr>
          </w:p>
        </w:tc>
        <w:tc>
          <w:tcPr>
            <w:tcW w:w="2431" w:type="dxa"/>
            <w:gridSpan w:val="3"/>
            <w:shd w:val="clear" w:color="auto" w:fill="E2EFD9" w:themeFill="accent6" w:themeFillTint="33"/>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8"/>
                <w:szCs w:val="18"/>
                <w:lang w:eastAsia="es-ES"/>
              </w:rPr>
            </w:pPr>
            <w:r w:rsidRPr="0030466D">
              <w:rPr>
                <w:rFonts w:ascii="Calibri" w:eastAsia="Times New Roman" w:hAnsi="Calibri" w:cs="Calibri"/>
                <w:b/>
                <w:bCs/>
                <w:color w:val="000000"/>
                <w:sz w:val="18"/>
                <w:szCs w:val="18"/>
                <w:lang w:eastAsia="es-ES"/>
              </w:rPr>
              <w:t>Alquiler (% ingresos hogar)</w:t>
            </w:r>
          </w:p>
        </w:tc>
      </w:tr>
      <w:tr w:rsidR="0030466D" w:rsidRPr="0030466D" w:rsidTr="00717B0B">
        <w:trPr>
          <w:jc w:val="center"/>
        </w:trPr>
        <w:tc>
          <w:tcPr>
            <w:tcW w:w="1696" w:type="dxa"/>
            <w:shd w:val="clear" w:color="auto" w:fill="auto"/>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6"/>
                <w:szCs w:val="16"/>
                <w:lang w:eastAsia="es-ES"/>
              </w:rPr>
            </w:pPr>
          </w:p>
        </w:tc>
        <w:tc>
          <w:tcPr>
            <w:tcW w:w="709" w:type="dxa"/>
            <w:vMerge w:val="restart"/>
            <w:shd w:val="clear" w:color="auto" w:fill="E2EFD9" w:themeFill="accent6" w:themeFillTint="33"/>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2023</w:t>
            </w:r>
          </w:p>
        </w:tc>
        <w:tc>
          <w:tcPr>
            <w:tcW w:w="2087" w:type="dxa"/>
            <w:gridSpan w:val="2"/>
            <w:shd w:val="clear" w:color="auto" w:fill="E2EFD9" w:themeFill="accent6" w:themeFillTint="33"/>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Diferencias en p.p.</w:t>
            </w:r>
          </w:p>
        </w:tc>
        <w:tc>
          <w:tcPr>
            <w:tcW w:w="160" w:type="dxa"/>
            <w:shd w:val="clear" w:color="auto" w:fill="E2EFD9" w:themeFill="accent6" w:themeFillTint="33"/>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6"/>
                <w:szCs w:val="16"/>
                <w:lang w:eastAsia="es-ES"/>
              </w:rPr>
            </w:pPr>
          </w:p>
        </w:tc>
        <w:tc>
          <w:tcPr>
            <w:tcW w:w="584" w:type="dxa"/>
            <w:vMerge w:val="restart"/>
            <w:shd w:val="clear" w:color="auto" w:fill="E2EFD9" w:themeFill="accent6" w:themeFillTint="33"/>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2023</w:t>
            </w:r>
          </w:p>
        </w:tc>
        <w:tc>
          <w:tcPr>
            <w:tcW w:w="1847" w:type="dxa"/>
            <w:gridSpan w:val="2"/>
            <w:shd w:val="clear" w:color="auto" w:fill="E2EFD9" w:themeFill="accent6" w:themeFillTint="33"/>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Diferencias en p.p.</w:t>
            </w:r>
          </w:p>
        </w:tc>
      </w:tr>
      <w:tr w:rsidR="0030466D" w:rsidRPr="0030466D" w:rsidTr="00717B0B">
        <w:trPr>
          <w:jc w:val="center"/>
        </w:trPr>
        <w:tc>
          <w:tcPr>
            <w:tcW w:w="1696" w:type="dxa"/>
            <w:shd w:val="clear" w:color="auto" w:fill="auto"/>
            <w:noWrap/>
            <w:vAlign w:val="bottom"/>
            <w:hideMark/>
          </w:tcPr>
          <w:p w:rsidR="0030466D" w:rsidRPr="0030466D" w:rsidRDefault="0030466D" w:rsidP="0030466D">
            <w:pPr>
              <w:spacing w:after="0" w:line="240" w:lineRule="auto"/>
              <w:jc w:val="center"/>
              <w:rPr>
                <w:rFonts w:ascii="Calibri" w:eastAsia="Times New Roman" w:hAnsi="Calibri" w:cs="Calibri"/>
                <w:b/>
                <w:bCs/>
                <w:color w:val="000000"/>
                <w:sz w:val="16"/>
                <w:szCs w:val="16"/>
                <w:lang w:eastAsia="es-ES"/>
              </w:rPr>
            </w:pPr>
          </w:p>
        </w:tc>
        <w:tc>
          <w:tcPr>
            <w:tcW w:w="709" w:type="dxa"/>
            <w:vMerge/>
            <w:shd w:val="clear" w:color="auto" w:fill="E2EFD9" w:themeFill="accent6" w:themeFillTint="33"/>
            <w:vAlign w:val="center"/>
            <w:hideMark/>
          </w:tcPr>
          <w:p w:rsidR="0030466D" w:rsidRPr="0030466D" w:rsidRDefault="0030466D" w:rsidP="0030466D">
            <w:pPr>
              <w:spacing w:after="0" w:line="240" w:lineRule="auto"/>
              <w:rPr>
                <w:rFonts w:ascii="Calibri" w:eastAsia="Times New Roman" w:hAnsi="Calibri" w:cs="Calibri"/>
                <w:b/>
                <w:bCs/>
                <w:color w:val="000000"/>
                <w:sz w:val="16"/>
                <w:szCs w:val="16"/>
                <w:lang w:eastAsia="es-ES"/>
              </w:rPr>
            </w:pPr>
          </w:p>
        </w:tc>
        <w:tc>
          <w:tcPr>
            <w:tcW w:w="858" w:type="dxa"/>
            <w:shd w:val="clear" w:color="auto" w:fill="E2EFD9" w:themeFill="accent6" w:themeFillTint="33"/>
            <w:noWrap/>
            <w:vAlign w:val="bottom"/>
            <w:hideMark/>
          </w:tcPr>
          <w:p w:rsidR="0030466D" w:rsidRPr="0030466D" w:rsidRDefault="0030466D" w:rsidP="0030466D">
            <w:pPr>
              <w:spacing w:after="0" w:line="240" w:lineRule="auto"/>
              <w:jc w:val="right"/>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2023/2017</w:t>
            </w:r>
          </w:p>
        </w:tc>
        <w:tc>
          <w:tcPr>
            <w:tcW w:w="1229" w:type="dxa"/>
            <w:shd w:val="clear" w:color="auto" w:fill="E2EFD9" w:themeFill="accent6" w:themeFillTint="33"/>
            <w:noWrap/>
            <w:vAlign w:val="bottom"/>
            <w:hideMark/>
          </w:tcPr>
          <w:p w:rsidR="0030466D" w:rsidRPr="0030466D" w:rsidRDefault="0030466D" w:rsidP="0030466D">
            <w:pPr>
              <w:spacing w:after="0" w:line="240" w:lineRule="auto"/>
              <w:jc w:val="right"/>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2023/2022</w:t>
            </w:r>
          </w:p>
        </w:tc>
        <w:tc>
          <w:tcPr>
            <w:tcW w:w="160"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b/>
                <w:bCs/>
                <w:color w:val="000000"/>
                <w:sz w:val="16"/>
                <w:szCs w:val="16"/>
                <w:lang w:eastAsia="es-ES"/>
              </w:rPr>
            </w:pPr>
          </w:p>
        </w:tc>
        <w:tc>
          <w:tcPr>
            <w:tcW w:w="584" w:type="dxa"/>
            <w:vMerge/>
            <w:shd w:val="clear" w:color="auto" w:fill="E2EFD9" w:themeFill="accent6" w:themeFillTint="33"/>
            <w:vAlign w:val="center"/>
            <w:hideMark/>
          </w:tcPr>
          <w:p w:rsidR="0030466D" w:rsidRPr="0030466D" w:rsidRDefault="0030466D" w:rsidP="0030466D">
            <w:pPr>
              <w:spacing w:after="0" w:line="240" w:lineRule="auto"/>
              <w:rPr>
                <w:rFonts w:ascii="Calibri" w:eastAsia="Times New Roman" w:hAnsi="Calibri" w:cs="Calibri"/>
                <w:b/>
                <w:bCs/>
                <w:color w:val="000000"/>
                <w:sz w:val="16"/>
                <w:szCs w:val="16"/>
                <w:lang w:eastAsia="es-ES"/>
              </w:rPr>
            </w:pPr>
          </w:p>
        </w:tc>
        <w:tc>
          <w:tcPr>
            <w:tcW w:w="938" w:type="dxa"/>
            <w:shd w:val="clear" w:color="auto" w:fill="E2EFD9" w:themeFill="accent6" w:themeFillTint="33"/>
            <w:noWrap/>
            <w:vAlign w:val="bottom"/>
            <w:hideMark/>
          </w:tcPr>
          <w:p w:rsidR="0030466D" w:rsidRPr="0030466D" w:rsidRDefault="0030466D" w:rsidP="0030466D">
            <w:pPr>
              <w:spacing w:after="0" w:line="240" w:lineRule="auto"/>
              <w:jc w:val="right"/>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2023/2017</w:t>
            </w:r>
          </w:p>
        </w:tc>
        <w:tc>
          <w:tcPr>
            <w:tcW w:w="909" w:type="dxa"/>
            <w:shd w:val="clear" w:color="auto" w:fill="E2EFD9" w:themeFill="accent6" w:themeFillTint="33"/>
            <w:noWrap/>
            <w:vAlign w:val="bottom"/>
            <w:hideMark/>
          </w:tcPr>
          <w:p w:rsidR="0030466D" w:rsidRPr="0030466D" w:rsidRDefault="0030466D" w:rsidP="0030466D">
            <w:pPr>
              <w:spacing w:after="0" w:line="240" w:lineRule="auto"/>
              <w:jc w:val="right"/>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2023/2022</w:t>
            </w:r>
          </w:p>
        </w:tc>
      </w:tr>
      <w:tr w:rsidR="0030466D" w:rsidRPr="0030466D" w:rsidTr="0030466D">
        <w:trPr>
          <w:jc w:val="center"/>
        </w:trPr>
        <w:tc>
          <w:tcPr>
            <w:tcW w:w="2405" w:type="dxa"/>
            <w:gridSpan w:val="2"/>
            <w:shd w:val="clear" w:color="auto" w:fill="auto"/>
            <w:noWrap/>
            <w:vAlign w:val="bottom"/>
            <w:hideMark/>
          </w:tcPr>
          <w:p w:rsidR="0030466D" w:rsidRPr="0030466D" w:rsidRDefault="0030466D" w:rsidP="0030466D">
            <w:pPr>
              <w:spacing w:after="0" w:line="240" w:lineRule="auto"/>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MENORES DE 30 AÑOS</w:t>
            </w:r>
          </w:p>
        </w:tc>
        <w:tc>
          <w:tcPr>
            <w:tcW w:w="858" w:type="dxa"/>
            <w:shd w:val="clear" w:color="auto" w:fill="auto"/>
            <w:noWrap/>
            <w:vAlign w:val="bottom"/>
            <w:hideMark/>
          </w:tcPr>
          <w:p w:rsidR="0030466D" w:rsidRPr="0030466D" w:rsidRDefault="0030466D" w:rsidP="0030466D">
            <w:pPr>
              <w:spacing w:after="0" w:line="240" w:lineRule="auto"/>
              <w:rPr>
                <w:rFonts w:ascii="Calibri" w:eastAsia="Times New Roman" w:hAnsi="Calibri" w:cs="Calibri"/>
                <w:b/>
                <w:bCs/>
                <w:color w:val="000000"/>
                <w:sz w:val="16"/>
                <w:szCs w:val="16"/>
                <w:lang w:eastAsia="es-ES"/>
              </w:rPr>
            </w:pPr>
          </w:p>
        </w:tc>
        <w:tc>
          <w:tcPr>
            <w:tcW w:w="1229"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c>
          <w:tcPr>
            <w:tcW w:w="160"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c>
          <w:tcPr>
            <w:tcW w:w="938"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c>
          <w:tcPr>
            <w:tcW w:w="909"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r>
      <w:tr w:rsidR="0030466D" w:rsidRPr="0030466D" w:rsidTr="007F0F03">
        <w:trPr>
          <w:jc w:val="center"/>
        </w:trPr>
        <w:tc>
          <w:tcPr>
            <w:tcW w:w="1696" w:type="dxa"/>
            <w:shd w:val="clear" w:color="auto" w:fill="E2EFD9" w:themeFill="accent6" w:themeFillTint="33"/>
            <w:noWrap/>
            <w:vAlign w:val="bottom"/>
            <w:hideMark/>
          </w:tcPr>
          <w:p w:rsidR="0030466D" w:rsidRPr="00970ABD" w:rsidRDefault="0030466D" w:rsidP="0030466D">
            <w:pPr>
              <w:spacing w:after="0" w:line="240" w:lineRule="auto"/>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ESPAÑA</w:t>
            </w:r>
          </w:p>
        </w:tc>
        <w:tc>
          <w:tcPr>
            <w:tcW w:w="70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61,1</w:t>
            </w:r>
          </w:p>
        </w:tc>
        <w:tc>
          <w:tcPr>
            <w:tcW w:w="858"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-2,1</w:t>
            </w:r>
          </w:p>
        </w:tc>
        <w:tc>
          <w:tcPr>
            <w:tcW w:w="122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9,4</w:t>
            </w:r>
          </w:p>
        </w:tc>
        <w:tc>
          <w:tcPr>
            <w:tcW w:w="160"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p>
        </w:tc>
        <w:tc>
          <w:tcPr>
            <w:tcW w:w="584"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85,0</w:t>
            </w:r>
          </w:p>
        </w:tc>
        <w:tc>
          <w:tcPr>
            <w:tcW w:w="938"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-7,2</w:t>
            </w:r>
          </w:p>
        </w:tc>
        <w:tc>
          <w:tcPr>
            <w:tcW w:w="90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2,4</w:t>
            </w:r>
          </w:p>
        </w:tc>
      </w:tr>
      <w:tr w:rsidR="0030466D" w:rsidRPr="0030466D" w:rsidTr="007F0F03">
        <w:trPr>
          <w:jc w:val="center"/>
        </w:trPr>
        <w:tc>
          <w:tcPr>
            <w:tcW w:w="1696" w:type="dxa"/>
            <w:shd w:val="clear" w:color="auto" w:fill="E2EFD9" w:themeFill="accent6" w:themeFillTint="33"/>
            <w:noWrap/>
            <w:vAlign w:val="bottom"/>
            <w:hideMark/>
          </w:tcPr>
          <w:p w:rsidR="0030466D" w:rsidRPr="00970ABD" w:rsidRDefault="0030466D" w:rsidP="0030466D">
            <w:pPr>
              <w:spacing w:after="0" w:line="240" w:lineRule="auto"/>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ANDALUCÍA</w:t>
            </w:r>
          </w:p>
        </w:tc>
        <w:tc>
          <w:tcPr>
            <w:tcW w:w="70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66,5</w:t>
            </w:r>
          </w:p>
        </w:tc>
        <w:tc>
          <w:tcPr>
            <w:tcW w:w="858"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-3,9</w:t>
            </w:r>
          </w:p>
        </w:tc>
        <w:tc>
          <w:tcPr>
            <w:tcW w:w="122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11,3</w:t>
            </w:r>
          </w:p>
        </w:tc>
        <w:tc>
          <w:tcPr>
            <w:tcW w:w="160"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p>
        </w:tc>
        <w:tc>
          <w:tcPr>
            <w:tcW w:w="584"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96,8</w:t>
            </w:r>
          </w:p>
        </w:tc>
        <w:tc>
          <w:tcPr>
            <w:tcW w:w="938"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-3,2</w:t>
            </w:r>
          </w:p>
        </w:tc>
        <w:tc>
          <w:tcPr>
            <w:tcW w:w="90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4,8</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Almería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46,3</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-6,2</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6,9</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60,8</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-2,4</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0,5</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Cádiz</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81,7</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-7,5</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13,1</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102,6</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-13,8</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0,5</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Córdoba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49,0</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-12,9</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6,3</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68,4</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-15,2</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-1,0</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Granada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59,8</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-5,2</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9,2</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87,5</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-7,8</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2,6</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Huelva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55,1</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-5,8</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8,8</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81,1</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-11,2</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0,2</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Jaén</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37,0</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-9,3</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5,5</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55,3</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-6,4</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2,9</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Málaga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92,3</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5,8</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16,6</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118,9</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8,3</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11,4</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Sevilla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63,7</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-7,1</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11,1</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89,6</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-17,4</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-0,2</w:t>
            </w:r>
          </w:p>
        </w:tc>
      </w:tr>
      <w:tr w:rsidR="0030466D" w:rsidRPr="0030466D" w:rsidTr="0030466D">
        <w:trPr>
          <w:jc w:val="center"/>
        </w:trPr>
        <w:tc>
          <w:tcPr>
            <w:tcW w:w="2405" w:type="dxa"/>
            <w:gridSpan w:val="2"/>
            <w:shd w:val="clear" w:color="auto" w:fill="auto"/>
            <w:noWrap/>
            <w:vAlign w:val="bottom"/>
            <w:hideMark/>
          </w:tcPr>
          <w:p w:rsidR="0030466D" w:rsidRPr="0030466D" w:rsidRDefault="0030466D" w:rsidP="0030466D">
            <w:pPr>
              <w:spacing w:after="0" w:line="240" w:lineRule="auto"/>
              <w:rPr>
                <w:rFonts w:ascii="Calibri" w:eastAsia="Times New Roman" w:hAnsi="Calibri" w:cs="Calibri"/>
                <w:b/>
                <w:bCs/>
                <w:color w:val="000000"/>
                <w:sz w:val="16"/>
                <w:szCs w:val="16"/>
                <w:lang w:eastAsia="es-ES"/>
              </w:rPr>
            </w:pPr>
            <w:r w:rsidRPr="0030466D">
              <w:rPr>
                <w:rFonts w:ascii="Calibri" w:eastAsia="Times New Roman" w:hAnsi="Calibri" w:cs="Calibri"/>
                <w:b/>
                <w:bCs/>
                <w:color w:val="000000"/>
                <w:sz w:val="16"/>
                <w:szCs w:val="16"/>
                <w:lang w:eastAsia="es-ES"/>
              </w:rPr>
              <w:t>ENTRE 30 Y 39 AÑOS</w:t>
            </w:r>
          </w:p>
        </w:tc>
        <w:tc>
          <w:tcPr>
            <w:tcW w:w="858" w:type="dxa"/>
            <w:shd w:val="clear" w:color="auto" w:fill="auto"/>
            <w:noWrap/>
            <w:vAlign w:val="bottom"/>
            <w:hideMark/>
          </w:tcPr>
          <w:p w:rsidR="0030466D" w:rsidRPr="0030466D" w:rsidRDefault="0030466D" w:rsidP="0030466D">
            <w:pPr>
              <w:spacing w:after="0" w:line="240" w:lineRule="auto"/>
              <w:rPr>
                <w:rFonts w:ascii="Calibri" w:eastAsia="Times New Roman" w:hAnsi="Calibri" w:cs="Calibri"/>
                <w:b/>
                <w:bCs/>
                <w:color w:val="000000"/>
                <w:sz w:val="16"/>
                <w:szCs w:val="16"/>
                <w:lang w:eastAsia="es-ES"/>
              </w:rPr>
            </w:pPr>
          </w:p>
        </w:tc>
        <w:tc>
          <w:tcPr>
            <w:tcW w:w="1229"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c>
          <w:tcPr>
            <w:tcW w:w="160"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c>
          <w:tcPr>
            <w:tcW w:w="938"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c>
          <w:tcPr>
            <w:tcW w:w="909" w:type="dxa"/>
            <w:shd w:val="clear" w:color="auto" w:fill="auto"/>
            <w:noWrap/>
            <w:vAlign w:val="bottom"/>
            <w:hideMark/>
          </w:tcPr>
          <w:p w:rsidR="0030466D" w:rsidRPr="0030466D" w:rsidRDefault="0030466D" w:rsidP="0030466D">
            <w:pPr>
              <w:spacing w:after="0" w:line="240" w:lineRule="auto"/>
              <w:rPr>
                <w:rFonts w:ascii="Times New Roman" w:eastAsia="Times New Roman" w:hAnsi="Times New Roman" w:cs="Times New Roman"/>
                <w:sz w:val="16"/>
                <w:szCs w:val="16"/>
                <w:lang w:eastAsia="es-ES"/>
              </w:rPr>
            </w:pPr>
          </w:p>
        </w:tc>
      </w:tr>
      <w:tr w:rsidR="0030466D" w:rsidRPr="0030466D" w:rsidTr="007F0F03">
        <w:trPr>
          <w:jc w:val="center"/>
        </w:trPr>
        <w:tc>
          <w:tcPr>
            <w:tcW w:w="1696" w:type="dxa"/>
            <w:shd w:val="clear" w:color="auto" w:fill="E2EFD9" w:themeFill="accent6" w:themeFillTint="33"/>
            <w:noWrap/>
            <w:vAlign w:val="bottom"/>
            <w:hideMark/>
          </w:tcPr>
          <w:p w:rsidR="0030466D" w:rsidRPr="00970ABD" w:rsidRDefault="0030466D" w:rsidP="0030466D">
            <w:pPr>
              <w:spacing w:after="0" w:line="240" w:lineRule="auto"/>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ESPAÑA</w:t>
            </w:r>
          </w:p>
        </w:tc>
        <w:tc>
          <w:tcPr>
            <w:tcW w:w="70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34,0</w:t>
            </w:r>
          </w:p>
        </w:tc>
        <w:tc>
          <w:tcPr>
            <w:tcW w:w="858"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0,7</w:t>
            </w:r>
          </w:p>
        </w:tc>
        <w:tc>
          <w:tcPr>
            <w:tcW w:w="122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5,2</w:t>
            </w:r>
          </w:p>
        </w:tc>
        <w:tc>
          <w:tcPr>
            <w:tcW w:w="160"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p>
        </w:tc>
        <w:tc>
          <w:tcPr>
            <w:tcW w:w="584"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47,3</w:t>
            </w:r>
          </w:p>
        </w:tc>
        <w:tc>
          <w:tcPr>
            <w:tcW w:w="938"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-1,3</w:t>
            </w:r>
          </w:p>
        </w:tc>
        <w:tc>
          <w:tcPr>
            <w:tcW w:w="90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1,4</w:t>
            </w:r>
          </w:p>
        </w:tc>
      </w:tr>
      <w:tr w:rsidR="0030466D" w:rsidRPr="0030466D" w:rsidTr="007F0F03">
        <w:trPr>
          <w:jc w:val="center"/>
        </w:trPr>
        <w:tc>
          <w:tcPr>
            <w:tcW w:w="1696" w:type="dxa"/>
            <w:shd w:val="clear" w:color="auto" w:fill="E2EFD9" w:themeFill="accent6" w:themeFillTint="33"/>
            <w:noWrap/>
            <w:vAlign w:val="bottom"/>
            <w:hideMark/>
          </w:tcPr>
          <w:p w:rsidR="0030466D" w:rsidRPr="00970ABD" w:rsidRDefault="0030466D" w:rsidP="0030466D">
            <w:pPr>
              <w:spacing w:after="0" w:line="240" w:lineRule="auto"/>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ANDALUCÍA</w:t>
            </w:r>
          </w:p>
        </w:tc>
        <w:tc>
          <w:tcPr>
            <w:tcW w:w="70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38,6</w:t>
            </w:r>
          </w:p>
        </w:tc>
        <w:tc>
          <w:tcPr>
            <w:tcW w:w="858"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0,7</w:t>
            </w:r>
          </w:p>
        </w:tc>
        <w:tc>
          <w:tcPr>
            <w:tcW w:w="122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6,6</w:t>
            </w:r>
          </w:p>
        </w:tc>
        <w:tc>
          <w:tcPr>
            <w:tcW w:w="160"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p>
        </w:tc>
        <w:tc>
          <w:tcPr>
            <w:tcW w:w="584"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56,3</w:t>
            </w:r>
          </w:p>
        </w:tc>
        <w:tc>
          <w:tcPr>
            <w:tcW w:w="938"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2,3</w:t>
            </w:r>
          </w:p>
        </w:tc>
        <w:tc>
          <w:tcPr>
            <w:tcW w:w="909" w:type="dxa"/>
            <w:shd w:val="clear" w:color="auto" w:fill="auto"/>
            <w:noWrap/>
            <w:vAlign w:val="bottom"/>
            <w:hideMark/>
          </w:tcPr>
          <w:p w:rsidR="0030466D" w:rsidRPr="00970ABD" w:rsidRDefault="0030466D" w:rsidP="0030466D">
            <w:pPr>
              <w:spacing w:after="0" w:line="240" w:lineRule="auto"/>
              <w:jc w:val="right"/>
              <w:rPr>
                <w:rFonts w:ascii="Calibri" w:eastAsia="Times New Roman" w:hAnsi="Calibri" w:cs="Calibri"/>
                <w:b/>
                <w:i/>
                <w:iCs/>
                <w:color w:val="000000"/>
                <w:sz w:val="16"/>
                <w:szCs w:val="16"/>
                <w:lang w:eastAsia="es-ES"/>
              </w:rPr>
            </w:pPr>
            <w:r w:rsidRPr="00970ABD">
              <w:rPr>
                <w:rFonts w:ascii="Calibri" w:eastAsia="Times New Roman" w:hAnsi="Calibri" w:cs="Calibri"/>
                <w:b/>
                <w:i/>
                <w:iCs/>
                <w:color w:val="000000"/>
                <w:sz w:val="16"/>
                <w:szCs w:val="16"/>
                <w:lang w:eastAsia="es-ES"/>
              </w:rPr>
              <w:t>2,8</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Almería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30,1</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-1,6</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4,5</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39,5</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1,3</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0,4</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Cádiz</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47,0</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0,2</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7,5</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59,0</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-2,1</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0,3</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Córdoba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28,5</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-7,0</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3,7</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39,9</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-8,2</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-0,6</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Granada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34,1</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-0,7</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5,3</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50,0</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-1,2</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1,5</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Huelva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32,4</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-0,4</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5,2</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47,7</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-2,0</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0,1</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Jaén</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23,8</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-2,7</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3,5</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35,5</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0,3</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1,8</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Málaga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52,9</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6,1</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9,5</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68,2</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8,4</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6,6</w:t>
            </w:r>
          </w:p>
        </w:tc>
      </w:tr>
      <w:tr w:rsidR="0030466D" w:rsidRPr="0030466D" w:rsidTr="007F0F03">
        <w:trPr>
          <w:jc w:val="center"/>
        </w:trPr>
        <w:tc>
          <w:tcPr>
            <w:tcW w:w="1696" w:type="dxa"/>
            <w:shd w:val="clear" w:color="auto" w:fill="E2EFD9" w:themeFill="accent6" w:themeFillTint="33"/>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Sevilla</w:t>
            </w:r>
          </w:p>
        </w:tc>
        <w:tc>
          <w:tcPr>
            <w:tcW w:w="7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34,8</w:t>
            </w:r>
          </w:p>
        </w:tc>
        <w:tc>
          <w:tcPr>
            <w:tcW w:w="85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-0,9</w:t>
            </w:r>
          </w:p>
        </w:tc>
        <w:tc>
          <w:tcPr>
            <w:tcW w:w="122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6,1</w:t>
            </w:r>
          </w:p>
        </w:tc>
        <w:tc>
          <w:tcPr>
            <w:tcW w:w="160"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p>
        </w:tc>
        <w:tc>
          <w:tcPr>
            <w:tcW w:w="584"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49,0</w:t>
            </w:r>
          </w:p>
        </w:tc>
        <w:tc>
          <w:tcPr>
            <w:tcW w:w="938"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-5,0</w:t>
            </w:r>
          </w:p>
        </w:tc>
        <w:tc>
          <w:tcPr>
            <w:tcW w:w="909" w:type="dxa"/>
            <w:shd w:val="clear" w:color="auto" w:fill="auto"/>
            <w:noWrap/>
            <w:vAlign w:val="bottom"/>
            <w:hideMark/>
          </w:tcPr>
          <w:p w:rsidR="0030466D" w:rsidRPr="0030466D" w:rsidRDefault="0030466D" w:rsidP="0030466D">
            <w:pPr>
              <w:spacing w:after="0" w:line="240" w:lineRule="auto"/>
              <w:jc w:val="right"/>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-0,1</w:t>
            </w:r>
          </w:p>
        </w:tc>
      </w:tr>
      <w:tr w:rsidR="0030466D" w:rsidRPr="0030466D" w:rsidTr="00D41ACA">
        <w:trPr>
          <w:jc w:val="center"/>
        </w:trPr>
        <w:tc>
          <w:tcPr>
            <w:tcW w:w="7083" w:type="dxa"/>
            <w:gridSpan w:val="8"/>
            <w:tcBorders>
              <w:bottom w:val="single" w:sz="2" w:space="0" w:color="70AD47" w:themeColor="accent6"/>
            </w:tcBorders>
            <w:shd w:val="clear" w:color="auto" w:fill="auto"/>
            <w:noWrap/>
            <w:vAlign w:val="bottom"/>
            <w:hideMark/>
          </w:tcPr>
          <w:p w:rsidR="0030466D" w:rsidRPr="0030466D" w:rsidRDefault="0030466D" w:rsidP="0030466D">
            <w:pPr>
              <w:spacing w:after="0" w:line="240" w:lineRule="auto"/>
              <w:rPr>
                <w:rFonts w:ascii="Calibri" w:eastAsia="Times New Roman" w:hAnsi="Calibri" w:cs="Calibri"/>
                <w:color w:val="000000"/>
                <w:sz w:val="16"/>
                <w:szCs w:val="16"/>
                <w:lang w:eastAsia="es-ES"/>
              </w:rPr>
            </w:pPr>
            <w:r w:rsidRPr="0030466D">
              <w:rPr>
                <w:rFonts w:ascii="Calibri" w:eastAsia="Times New Roman" w:hAnsi="Calibri" w:cs="Calibri"/>
                <w:color w:val="000000"/>
                <w:sz w:val="16"/>
                <w:szCs w:val="16"/>
                <w:lang w:eastAsia="es-ES"/>
              </w:rPr>
              <w:t xml:space="preserve">Fuente: </w:t>
            </w:r>
            <w:r w:rsidRPr="00970ABD">
              <w:rPr>
                <w:rFonts w:ascii="Calibri" w:eastAsia="Times New Roman" w:hAnsi="Calibri" w:cs="Calibri"/>
                <w:i/>
                <w:color w:val="000000"/>
                <w:sz w:val="16"/>
                <w:szCs w:val="16"/>
                <w:lang w:eastAsia="es-ES"/>
              </w:rPr>
              <w:t>Analistas Económicos de Andalucía</w:t>
            </w:r>
            <w:r w:rsidRPr="0030466D">
              <w:rPr>
                <w:rFonts w:ascii="Calibri" w:eastAsia="Times New Roman" w:hAnsi="Calibri" w:cs="Calibri"/>
                <w:color w:val="000000"/>
                <w:sz w:val="16"/>
                <w:szCs w:val="16"/>
                <w:lang w:eastAsia="es-ES"/>
              </w:rPr>
              <w:t xml:space="preserve"> a partir de datos del Banco de España, IECA, INE, Ministerio de Vivienda y Agenda Urbana y Portal Idealista.</w:t>
            </w:r>
          </w:p>
        </w:tc>
      </w:tr>
    </w:tbl>
    <w:p w:rsidR="00330EC1" w:rsidRDefault="00330EC1" w:rsidP="009A0446">
      <w:pPr>
        <w:jc w:val="both"/>
        <w:rPr>
          <w:color w:val="323232"/>
        </w:rPr>
      </w:pPr>
    </w:p>
    <w:p w:rsidR="00E46E3D" w:rsidRPr="006D12E2" w:rsidRDefault="00E46E3D" w:rsidP="009A0446">
      <w:pPr>
        <w:jc w:val="both"/>
        <w:rPr>
          <w:color w:val="323232"/>
        </w:rPr>
      </w:pPr>
      <w:r>
        <w:rPr>
          <w:color w:val="323232"/>
        </w:rPr>
        <w:t xml:space="preserve">En cuanto al alquiler, el esfuerzo de acceso es mayor que en el caso de la compra de vivienda mediante financiación. </w:t>
      </w:r>
      <w:r w:rsidR="006D12E2">
        <w:rPr>
          <w:color w:val="323232"/>
        </w:rPr>
        <w:t>Según nuestras estimaciones, el porcentaje de ingresos del hogar que se tendrían que dedicar al pago del alquiler anual, considerando una vivienda tipo de 80</w:t>
      </w:r>
      <w:r w:rsidR="00970ABD">
        <w:rPr>
          <w:color w:val="323232"/>
        </w:rPr>
        <w:t xml:space="preserve"> </w:t>
      </w:r>
      <w:r w:rsidR="006D12E2">
        <w:rPr>
          <w:color w:val="323232"/>
        </w:rPr>
        <w:t>m</w:t>
      </w:r>
      <w:r w:rsidR="006D12E2" w:rsidRPr="006D12E2">
        <w:rPr>
          <w:color w:val="323232"/>
          <w:vertAlign w:val="superscript"/>
        </w:rPr>
        <w:t>2</w:t>
      </w:r>
      <w:r w:rsidR="006D12E2" w:rsidRPr="006D12E2">
        <w:rPr>
          <w:color w:val="323232"/>
        </w:rPr>
        <w:t xml:space="preserve"> </w:t>
      </w:r>
      <w:r w:rsidR="006D12E2">
        <w:rPr>
          <w:color w:val="323232"/>
        </w:rPr>
        <w:t>(aproximación a partir de las últimas cifras disponibles)</w:t>
      </w:r>
      <w:r w:rsidR="006D12E2" w:rsidRPr="006D12E2">
        <w:rPr>
          <w:color w:val="323232"/>
        </w:rPr>
        <w:t xml:space="preserve">, </w:t>
      </w:r>
      <w:r w:rsidR="006D12E2">
        <w:rPr>
          <w:color w:val="323232"/>
        </w:rPr>
        <w:t xml:space="preserve">habría alcanzado el 54% en Andalucía en 2023 (46,2% en España), lo que supone un aumento de casi 3 p.p. con relación al año anterior, </w:t>
      </w:r>
      <w:r w:rsidR="006D12E2">
        <w:rPr>
          <w:color w:val="323232"/>
        </w:rPr>
        <w:lastRenderedPageBreak/>
        <w:t xml:space="preserve">dado que los precios han crecido a mayor ritmo que los </w:t>
      </w:r>
      <w:r w:rsidR="006D12E2" w:rsidRPr="00970ABD">
        <w:rPr>
          <w:color w:val="323232"/>
        </w:rPr>
        <w:t>salarios</w:t>
      </w:r>
      <w:r w:rsidR="00992E19" w:rsidRPr="00970ABD">
        <w:rPr>
          <w:color w:val="323232"/>
        </w:rPr>
        <w:t xml:space="preserve"> (en los últimos seis años los precios por m</w:t>
      </w:r>
      <w:r w:rsidR="00992E19" w:rsidRPr="00970ABD">
        <w:rPr>
          <w:color w:val="323232"/>
          <w:vertAlign w:val="superscript"/>
        </w:rPr>
        <w:t>2</w:t>
      </w:r>
      <w:r w:rsidR="00992E19" w:rsidRPr="00970ABD">
        <w:rPr>
          <w:color w:val="323232"/>
        </w:rPr>
        <w:t xml:space="preserve"> han crecido casi un 50% en Andalucía)</w:t>
      </w:r>
      <w:r w:rsidR="006D12E2" w:rsidRPr="00970ABD">
        <w:rPr>
          <w:color w:val="323232"/>
        </w:rPr>
        <w:t xml:space="preserve">. </w:t>
      </w:r>
      <w:r w:rsidR="00113BF8" w:rsidRPr="00970ABD">
        <w:rPr>
          <w:color w:val="323232"/>
        </w:rPr>
        <w:t xml:space="preserve">Esta ratio se reduciría hasta el 38,9% (36,7% en España) si se utilizasen las cifras de </w:t>
      </w:r>
      <w:r w:rsidR="00113BF8" w:rsidRPr="00B465B9">
        <w:rPr>
          <w:i/>
          <w:color w:val="323232"/>
        </w:rPr>
        <w:t>salarios equivalentes a tiempo completo</w:t>
      </w:r>
      <w:r w:rsidR="00113BF8">
        <w:rPr>
          <w:color w:val="323232"/>
        </w:rPr>
        <w:t xml:space="preserve"> para estimar los ingresos, en todo caso por encima de</w:t>
      </w:r>
      <w:r w:rsidR="00970ABD">
        <w:rPr>
          <w:color w:val="323232"/>
        </w:rPr>
        <w:t xml:space="preserve"> un </w:t>
      </w:r>
      <w:r w:rsidR="00113BF8">
        <w:rPr>
          <w:color w:val="323232"/>
        </w:rPr>
        <w:t xml:space="preserve">tercio de </w:t>
      </w:r>
      <w:r w:rsidR="00970ABD">
        <w:rPr>
          <w:color w:val="323232"/>
        </w:rPr>
        <w:t xml:space="preserve">los </w:t>
      </w:r>
      <w:r w:rsidR="00113BF8">
        <w:rPr>
          <w:color w:val="323232"/>
        </w:rPr>
        <w:t>ingresos.</w:t>
      </w:r>
    </w:p>
    <w:p w:rsidR="007301FA" w:rsidRDefault="00D47AB9" w:rsidP="009A0446">
      <w:pPr>
        <w:jc w:val="both"/>
        <w:rPr>
          <w:color w:val="323232"/>
        </w:rPr>
      </w:pPr>
      <w:r>
        <w:rPr>
          <w:color w:val="323232"/>
        </w:rPr>
        <w:t>En todas las provincias se tendría que dedicar más de un tercio de los ingresos de los hogares al pago del alquiler</w:t>
      </w:r>
      <w:r w:rsidR="00992E19">
        <w:rPr>
          <w:color w:val="323232"/>
        </w:rPr>
        <w:t xml:space="preserve">, destacando los mayores porcentajes que habría que destinar en Málaga y Cádiz, en las que el alquiler supondría más de la mitad de los ingresos. </w:t>
      </w:r>
      <w:r w:rsidR="00A0485B">
        <w:rPr>
          <w:color w:val="323232"/>
        </w:rPr>
        <w:t xml:space="preserve">En general, el porcentaje de ingresos destinados al alquiler ha aumentado en 2023, salvo en las provincias de Córdoba y Sevilla, en las que los ingresos habrían crecido algo más que los precios como consecuencia de la mayor intensidad de empleo en los hogares. </w:t>
      </w:r>
      <w:r w:rsidR="00614BBD">
        <w:rPr>
          <w:color w:val="323232"/>
        </w:rPr>
        <w:t>Asimismo, entre las 13 ciudades de más de 100.000 habitantes, únicamente en Jaén</w:t>
      </w:r>
      <w:r w:rsidR="004C2039">
        <w:rPr>
          <w:color w:val="323232"/>
        </w:rPr>
        <w:t xml:space="preserve"> y</w:t>
      </w:r>
      <w:r w:rsidR="00614BBD">
        <w:rPr>
          <w:color w:val="323232"/>
        </w:rPr>
        <w:t xml:space="preserve"> Dos Hermanas habría que destinar al alquiler algo menos de un tercio de los ingresos, mientras, por el contrario, en Marbella, Cádiz y Málaga habría que destinar más de un 55% de los ingresos al pago del alquiler.</w:t>
      </w:r>
    </w:p>
    <w:p w:rsidR="00970ABD" w:rsidRDefault="00970ABD" w:rsidP="009A0446">
      <w:pPr>
        <w:jc w:val="both"/>
        <w:rPr>
          <w:color w:val="323232"/>
        </w:rPr>
      </w:pPr>
      <w:r w:rsidRPr="00970ABD">
        <w:rPr>
          <w:noProof/>
          <w:lang w:eastAsia="es-ES"/>
        </w:rPr>
        <w:drawing>
          <wp:inline distT="0" distB="0" distL="0" distR="0">
            <wp:extent cx="5400040" cy="303467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A765FE" w:rsidRDefault="008555CA" w:rsidP="009A0446">
      <w:pPr>
        <w:jc w:val="both"/>
        <w:rPr>
          <w:color w:val="323232"/>
        </w:rPr>
      </w:pPr>
      <w:r>
        <w:rPr>
          <w:color w:val="323232"/>
        </w:rPr>
        <w:t xml:space="preserve">Entre los menores de 30 años, los niveles de esfuerzo para el acceso a una vivienda en alquiler </w:t>
      </w:r>
      <w:r w:rsidR="00B465B9">
        <w:rPr>
          <w:color w:val="323232"/>
        </w:rPr>
        <w:t>son</w:t>
      </w:r>
      <w:r>
        <w:rPr>
          <w:color w:val="323232"/>
        </w:rPr>
        <w:t xml:space="preserve"> tan elevados que imposibilitan dicho acceso a este tramo de població</w:t>
      </w:r>
      <w:r w:rsidR="00B465B9">
        <w:rPr>
          <w:color w:val="323232"/>
        </w:rPr>
        <w:t>n.</w:t>
      </w:r>
      <w:r>
        <w:rPr>
          <w:color w:val="323232"/>
        </w:rPr>
        <w:t xml:space="preserve"> En cuanto a la población entre 30 y 39 años, el porcentaje que habría que destinar al pago del alquiler superaría el </w:t>
      </w:r>
      <w:r w:rsidR="00B465B9">
        <w:rPr>
          <w:color w:val="323232"/>
        </w:rPr>
        <w:t>55</w:t>
      </w:r>
      <w:r>
        <w:rPr>
          <w:color w:val="323232"/>
        </w:rPr>
        <w:t xml:space="preserve">% de los ingresos del hogar. Considerando los </w:t>
      </w:r>
      <w:r w:rsidRPr="00B465B9">
        <w:rPr>
          <w:i/>
          <w:color w:val="323232"/>
        </w:rPr>
        <w:t>salarios equivalentes a tiempo completo</w:t>
      </w:r>
      <w:r>
        <w:rPr>
          <w:color w:val="323232"/>
        </w:rPr>
        <w:t>, las ratios de esfuerzo disminuyen de forma significativa, pero aun así solo en Jaén se bajaría del 30% de los ingresos para el alquiler</w:t>
      </w:r>
      <w:r w:rsidR="00DE26B7">
        <w:rPr>
          <w:color w:val="323232"/>
        </w:rPr>
        <w:t xml:space="preserve"> entre los menores de 30 años</w:t>
      </w:r>
      <w:r>
        <w:rPr>
          <w:color w:val="323232"/>
        </w:rPr>
        <w:t xml:space="preserve">, </w:t>
      </w:r>
      <w:r w:rsidR="00DE26B7">
        <w:rPr>
          <w:color w:val="323232"/>
        </w:rPr>
        <w:t>y en Almería y Córdoba el porcentaje se situaría en torno a un tercio de los ingresos, superando el 35% en el resto de provincias</w:t>
      </w:r>
      <w:r w:rsidR="00B465B9">
        <w:rPr>
          <w:color w:val="323232"/>
        </w:rPr>
        <w:t xml:space="preserve"> (más del 50% en Málaga)</w:t>
      </w:r>
      <w:r w:rsidR="00DE26B7">
        <w:rPr>
          <w:color w:val="323232"/>
        </w:rPr>
        <w:t xml:space="preserve">. Para la población entre 30 y 39 años, el porcentaje de ingresos destinado al alquiler superaría el 36% en Sevilla y Granada, </w:t>
      </w:r>
      <w:r w:rsidR="003559A5">
        <w:rPr>
          <w:color w:val="323232"/>
        </w:rPr>
        <w:t>el 40% en Cádiz y el 50% en Málaga.</w:t>
      </w:r>
    </w:p>
    <w:p w:rsidR="00B206BB" w:rsidRDefault="009C6DC2" w:rsidP="007300E1">
      <w:pPr>
        <w:jc w:val="both"/>
      </w:pPr>
      <w:r w:rsidRPr="007300E1">
        <w:t>En síntesis,</w:t>
      </w:r>
      <w:r>
        <w:t xml:space="preserve"> </w:t>
      </w:r>
      <w:r w:rsidR="007300E1">
        <w:t xml:space="preserve">el esfuerzo de acceso a la vivienda en Andalucía, tanto en compra como en alquiler, supera el límite del tercio de los ingresos recomendado, especialmente entre la población más joven, menor de 30 años. </w:t>
      </w:r>
      <w:r w:rsidR="00E1570F">
        <w:t xml:space="preserve">Considerando </w:t>
      </w:r>
      <w:r w:rsidR="007300E1">
        <w:t xml:space="preserve">los ingresos </w:t>
      </w:r>
      <w:r w:rsidR="00FA12D6">
        <w:t>que se percibirían si se trabajase todo el año a jornada completa (</w:t>
      </w:r>
      <w:r w:rsidR="00FA12D6" w:rsidRPr="00B465B9">
        <w:rPr>
          <w:i/>
        </w:rPr>
        <w:t>salario equivalente a tiempo completo</w:t>
      </w:r>
      <w:r w:rsidR="00FA12D6">
        <w:t xml:space="preserve">), el esfuerzo de compra </w:t>
      </w:r>
      <w:r w:rsidR="00E1570F">
        <w:t xml:space="preserve">con financiación sería inferior al 30%, </w:t>
      </w:r>
      <w:r w:rsidR="00FA12D6">
        <w:t xml:space="preserve">pero este no es el caso en general. En todo caso, entre los menores de 30 años incluso considerando estos ingresos el esfuerzo de compra se situaría al </w:t>
      </w:r>
      <w:r w:rsidR="00FA12D6">
        <w:lastRenderedPageBreak/>
        <w:t>límite de las recomendaciones. Por su parte, en el caso del alquiler, el esfuerzo de acceso es aún mayor, y en ningún caso baja del 35%.</w:t>
      </w:r>
    </w:p>
    <w:p w:rsidR="003A463F" w:rsidRPr="00F51E01" w:rsidRDefault="003559A5">
      <w:r w:rsidRPr="003559A5">
        <w:rPr>
          <w:noProof/>
          <w:lang w:eastAsia="es-ES"/>
        </w:rPr>
        <w:drawing>
          <wp:inline distT="0" distB="0" distL="0" distR="0">
            <wp:extent cx="5400040" cy="3034677"/>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F51E01" w:rsidRPr="00F51E01" w:rsidRDefault="00F51E01" w:rsidP="003A463F">
      <w:pPr>
        <w:jc w:val="center"/>
      </w:pPr>
    </w:p>
    <w:p w:rsidR="00947BD3" w:rsidRPr="00947BD3" w:rsidRDefault="00947BD3">
      <w:pPr>
        <w:rPr>
          <w:b/>
        </w:rPr>
      </w:pPr>
      <w:r w:rsidRPr="00947BD3">
        <w:rPr>
          <w:b/>
        </w:rPr>
        <w:t>I.1.</w:t>
      </w:r>
      <w:r w:rsidR="003F1283">
        <w:rPr>
          <w:b/>
        </w:rPr>
        <w:t>5</w:t>
      </w:r>
      <w:r w:rsidRPr="00947BD3">
        <w:rPr>
          <w:b/>
        </w:rPr>
        <w:t>. Costes de producción</w:t>
      </w:r>
    </w:p>
    <w:p w:rsidR="00910460" w:rsidRDefault="00910460" w:rsidP="00910460">
      <w:pPr>
        <w:jc w:val="both"/>
      </w:pPr>
      <w:r>
        <w:t>Los costes de construcción han experimentado un significativo repunte en los tres últimos años, a consecuencia de la reactivación de la demanda por la reapertura de las economías tras la pandemia y el estallido de la guerra en Ucrania. Según el índice que elabora el Ministerio de Vivienda y Agenda Urbana, el coste de la mano de obra y el consumo de materiales han crecido, en conjunto, en torno a un 25% desde 2020, aumentando algo menos en el caso de la edificación residencial y la rehabilitación.</w:t>
      </w:r>
    </w:p>
    <w:p w:rsidR="00910460" w:rsidRDefault="00910460" w:rsidP="00910460">
      <w:pPr>
        <w:jc w:val="both"/>
      </w:pPr>
      <w:r>
        <w:t>El crecimiento del coste de la mano de obra ha sido algo menor, cercano al 12%, en tanto que el coste de los materiales se ha incrementado casi un 32%. Especialmente destacables han sido los aumentos en los costes del acero, yeso o vidrio hueco (superiores al 50% entre 2020 y 2023), de los tubos de cobre (más de un 40%), del cemento (casi un 40%) o el hormigón (más de un 30%).</w:t>
      </w:r>
    </w:p>
    <w:p w:rsidR="00910460" w:rsidRDefault="00910460" w:rsidP="00910460">
      <w:pPr>
        <w:jc w:val="both"/>
      </w:pPr>
      <w:r w:rsidRPr="002A7D51">
        <w:rPr>
          <w:noProof/>
          <w:lang w:eastAsia="es-ES"/>
        </w:rPr>
        <w:lastRenderedPageBreak/>
        <w:drawing>
          <wp:inline distT="0" distB="0" distL="0" distR="0" wp14:anchorId="641AD84C" wp14:editId="74E8C268">
            <wp:extent cx="5400040" cy="303467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910460" w:rsidRDefault="00910460" w:rsidP="00910460">
      <w:pPr>
        <w:jc w:val="both"/>
      </w:pPr>
      <w:r>
        <w:t>Según este índice, los costes del sector de la construcción habrían alcanzado su máximo en mayo de 2022, y a partir entonces el ritmo de aumento se ha moderado, registrándose descensos interanuales desde mayo de 2023, a consecuencia de los menores precios en los materiales. No obstante, en el acumulado del año hasta noviembre (último mes disponible), el índice de costes del sector muestra un crecimiento en relación al mismo periodo del año anterior del 1,4%. En los casos de la edificación residencial y la rehabilitación, los aumentos son algo más acusados, del 3,7% y 2,6%, respectivamente.</w:t>
      </w:r>
    </w:p>
    <w:p w:rsidR="00910460" w:rsidRDefault="00910460" w:rsidP="00910460">
      <w:pPr>
        <w:jc w:val="both"/>
      </w:pPr>
      <w:r>
        <w:t>Hasta noviembre de 2023, el coste de la mano de obra ha crecido un 5,4%, una tasa algo más elevada que la registrada en los dos años anteriores, mientras que el de los materiales se ha mantenido prácticamente estable (-0,1%), creciendo en los casos de la edificación residencial y la rehabilitación (2,8% y 1,3%, respectivamente). Sin embargo, esta estabilidad en los costes de los materiales no es generalizada, y mientras los del acero o los tubos de cobre han disminuido (-15,9% y -5,4%, respectivamente), los del cemento y hormigón han aumentado más de un 15%.</w:t>
      </w:r>
    </w:p>
    <w:p w:rsidR="00910460" w:rsidRDefault="00910460" w:rsidP="00910460">
      <w:pPr>
        <w:jc w:val="both"/>
      </w:pPr>
    </w:p>
    <w:p w:rsidR="00910460" w:rsidRDefault="00910460" w:rsidP="00910460">
      <w:pPr>
        <w:jc w:val="center"/>
      </w:pPr>
      <w:r w:rsidRPr="008A6E96">
        <w:rPr>
          <w:noProof/>
          <w:lang w:eastAsia="es-ES"/>
        </w:rPr>
        <w:lastRenderedPageBreak/>
        <w:drawing>
          <wp:inline distT="0" distB="0" distL="0" distR="0" wp14:anchorId="20771814" wp14:editId="13E37A54">
            <wp:extent cx="4572000" cy="3429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10460" w:rsidRDefault="00910460" w:rsidP="00910460">
      <w:pPr>
        <w:jc w:val="both"/>
      </w:pPr>
      <w:r>
        <w:t>En el mismo sentido apunta el indicador elaborado por ST Consultores Inmobiliarios, que estima el coste de construcción en base a las promociones de obra nueva del segmento residencial, dividiendo el presupuesto de contrata de cada promoción monitorizada entre la superficie construida sobre rasante. Según este índice, el coste de construcción de obra nueva alcanzó en el cuarto trimestre de 2023 los 1.278 euros/m</w:t>
      </w:r>
      <w:r w:rsidRPr="00920F79">
        <w:rPr>
          <w:vertAlign w:val="superscript"/>
        </w:rPr>
        <w:t>2</w:t>
      </w:r>
      <w:r>
        <w:t>, lo que supone un aumento del 8,1% respecto al mismo trimestre de 2022, y un crecimiento del 35% con relación al cuarto trimestre de 2019, antes de la crisis sanitaria.</w:t>
      </w:r>
    </w:p>
    <w:p w:rsidR="00910460" w:rsidRDefault="00910460" w:rsidP="00910460">
      <w:pPr>
        <w:jc w:val="both"/>
      </w:pPr>
      <w:r>
        <w:t>Este coste por metro cuadrado variará, en gran medida, según la zona donde se localice la construcción, ya que tanto los precios del suelo, como de la construcción o el coste de la mano de obra serán diferentes. En Andalucía, según la Encuesta Trimestral de Coste Laboral del INE, el coste laboral por trabajador y mes alcanzó los 2.725,2 euros en el promedio hasta el tercer trimestre de 2023, lo que supone un aumento del 5,7% con relación al mismo periodo de 2022 (6,2% respecto a 2020). Este coste es alrededor de un 6% inferior a la media española. Por su parte, el coste salarial se sitúa en torno a los 1.900 euros por trabajador y mes, un 6,7% más que en el año anterior (2,8% en España).</w:t>
      </w:r>
    </w:p>
    <w:p w:rsidR="00910460" w:rsidRDefault="00910460" w:rsidP="00910460">
      <w:pPr>
        <w:jc w:val="both"/>
      </w:pPr>
      <w:r>
        <w:t>En cuanto a los precios del suelo, hasta el tercer trimestre de 2023, el precio medio del metro cuadrado de suelo urbano en Andalucía se sitúa en los 171,7 euros, según los datos del Ministerio de Vivienda, un precio que viene siendo algo superior a la media española desde el año 2018. Dentro de Andalucía, Málaga, Cádiz y Almería registran precios superiores al promedio regional, destacando el caso de la provincia malagueña, la segunda tras Baleares con mayor precio del suelo (cercano a los 290 euros/m</w:t>
      </w:r>
      <w:r w:rsidRPr="00B31E2B">
        <w:rPr>
          <w:vertAlign w:val="superscript"/>
        </w:rPr>
        <w:t>2</w:t>
      </w:r>
      <w:r>
        <w:t xml:space="preserve">). </w:t>
      </w:r>
    </w:p>
    <w:p w:rsidR="00910460" w:rsidRDefault="00910460" w:rsidP="00910460">
      <w:pPr>
        <w:jc w:val="both"/>
      </w:pPr>
      <w:r>
        <w:t xml:space="preserve">En 2023, el precio del suelo ha crecido un 3,3% interanual en Andalucía, mientras que en España ha disminuido alrededor de un 2,6%, con diferencias significativas por provincias. En Almería y Cádiz se han registrado aumentos superiores al 15%, en tanto que en Huelva y Málaga los aumentos se sitúan en torno al 5%. En Sevilla los precios apenas han crecido un 1%, y en Córdoba, Granada y Jaén han disminuido. También desde 2020 los precios han crecido a mayor </w:t>
      </w:r>
      <w:r>
        <w:lastRenderedPageBreak/>
        <w:t>ritmo en Andalucía que en España (15,2% y 5,9%, respectivamente), entre el 30% de la primera y el 19% de la última.</w:t>
      </w:r>
    </w:p>
    <w:p w:rsidR="00910460" w:rsidRDefault="00910460" w:rsidP="00910460">
      <w:pPr>
        <w:jc w:val="center"/>
      </w:pPr>
      <w:r w:rsidRPr="00E628E5">
        <w:rPr>
          <w:noProof/>
          <w:lang w:eastAsia="es-ES"/>
        </w:rPr>
        <w:drawing>
          <wp:inline distT="0" distB="0" distL="0" distR="0" wp14:anchorId="18D8B1CC" wp14:editId="4C29AB50">
            <wp:extent cx="4572000" cy="34290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10460" w:rsidRDefault="00910460" w:rsidP="00910460">
      <w:r w:rsidRPr="00F50461">
        <w:rPr>
          <w:noProof/>
          <w:lang w:eastAsia="es-ES"/>
        </w:rPr>
        <w:drawing>
          <wp:inline distT="0" distB="0" distL="0" distR="0" wp14:anchorId="759DEB7C" wp14:editId="465FE291">
            <wp:extent cx="5400040" cy="303467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3034677"/>
                    </a:xfrm>
                    <a:prstGeom prst="rect">
                      <a:avLst/>
                    </a:prstGeom>
                    <a:noFill/>
                    <a:ln>
                      <a:noFill/>
                    </a:ln>
                  </pic:spPr>
                </pic:pic>
              </a:graphicData>
            </a:graphic>
          </wp:inline>
        </w:drawing>
      </w:r>
    </w:p>
    <w:p w:rsidR="00910460" w:rsidRPr="0008530D" w:rsidRDefault="00910460" w:rsidP="00910460">
      <w:pPr>
        <w:jc w:val="both"/>
      </w:pPr>
      <w:r w:rsidRPr="0008530D">
        <w:t>Asimismo, según la información que proporcionan los Colegios de Arquitectos en Andalucía, los costes de construcción por metro cuadrado muestran diferencias significativas en función de las tipologías de vivienda y de la ubicación de las mismas. En concreto, el Colegio de Málaga estima que el precio medio del m</w:t>
      </w:r>
      <w:r w:rsidRPr="0008530D">
        <w:rPr>
          <w:vertAlign w:val="superscript"/>
        </w:rPr>
        <w:t>2</w:t>
      </w:r>
      <w:r w:rsidRPr="0008530D">
        <w:t xml:space="preserve"> en la provincia se sitúa en 899 euros para las viviendas plurifamiliares en medianera y en 964 euros para las plurifamiliares aisladas </w:t>
      </w:r>
      <w:r w:rsidRPr="00E34DC2">
        <w:t>en 2024, cifra que el de Granada sitúa en 704 euros, sin distinciones, y el de Cádiz en 749,28 euros y 772,70 euros, respectivamente, para 2023. Lo que, por otra parte, resulta incuestionable</w:t>
      </w:r>
      <w:r w:rsidRPr="0008530D">
        <w:t xml:space="preserve"> es el fuerte incremento que han sufrido los precios desde 2021, ejercicio en el que, en el caso de Málaga, se estimaban en 696 euros para los edificios </w:t>
      </w:r>
      <w:r w:rsidRPr="00E34DC2">
        <w:t>en</w:t>
      </w:r>
      <w:r>
        <w:t xml:space="preserve"> </w:t>
      </w:r>
      <w:r w:rsidRPr="0008530D">
        <w:t>medianera y 746 euros para los aislados.</w:t>
      </w:r>
    </w:p>
    <w:p w:rsidR="00910460" w:rsidRPr="00222D52" w:rsidRDefault="00910460" w:rsidP="00910460">
      <w:pPr>
        <w:jc w:val="both"/>
      </w:pPr>
      <w:r w:rsidRPr="00CD5143">
        <w:lastRenderedPageBreak/>
        <w:t>Por lo que se refiere a la ubicación, poniendo como ejemplo la información de la provincia de Málaga, a los mencionados precios medios de construcción hay que aplicarles unos coeficientes correctores que oscilan desde 1,10 para la capital y los municipios de la costa occidental a 0,90 para los municipios de menor tamaño y preferentemente del interior. En el caso de la tipología, el Colegio de Málaga estima que las viviendas protegidas pueden ver reducido su coste por m</w:t>
      </w:r>
      <w:r w:rsidRPr="00CD5143">
        <w:rPr>
          <w:vertAlign w:val="superscript"/>
        </w:rPr>
        <w:t>2</w:t>
      </w:r>
      <w:r w:rsidRPr="00CD5143">
        <w:t xml:space="preserve"> hasta en un 20%.</w:t>
      </w:r>
    </w:p>
    <w:p w:rsidR="00910460" w:rsidRPr="0067246B" w:rsidRDefault="00910460" w:rsidP="00910460">
      <w:pPr>
        <w:jc w:val="both"/>
      </w:pPr>
      <w:r w:rsidRPr="00E34DC2">
        <w:t>A tenor de la variabilidad de los costes implicados en la construcción de una vivienda en razón de su tipología, ubicación y calidad constructiva, la Junta de Andalucía en el Plan VIVE 2020-2030 establece unos precios por m</w:t>
      </w:r>
      <w:r w:rsidRPr="00E34DC2">
        <w:rPr>
          <w:vertAlign w:val="superscript"/>
        </w:rPr>
        <w:t>2</w:t>
      </w:r>
      <w:r w:rsidRPr="00E34DC2">
        <w:t xml:space="preserve"> para la venta de vivienda protegida que ajustan el modulo básico</w:t>
      </w:r>
      <w:r>
        <w:t xml:space="preserve"> (base para la definición del precio de venta o alquiler de las viviendas protegidas)</w:t>
      </w:r>
      <w:r w:rsidRPr="00E34DC2">
        <w:t>, establecido en 760 euros, en función del régimen al que se acoge la vivienda y el municipio en el que se ubica. En concreto, los precios de venta de la vivienda protegida pueden oscilar entre los 1.219,80 euros para una vivienda del régimen especial ubicada en un municipio de pequeño tamaño y los 2.204,00 euros para una vivienda de precio limitado ubicado en Cádiz, Granada, Málaga Sevilla, los grandes municipios de la costa occidental de Málaga, Alhaurín de la Torre y Rincón de la Victoria.</w:t>
      </w:r>
    </w:p>
    <w:p w:rsidR="00910460" w:rsidRDefault="00910460" w:rsidP="00910460"/>
    <w:tbl>
      <w:tblPr>
        <w:tblW w:w="9356" w:type="dxa"/>
        <w:jc w:val="center"/>
        <w:tblCellMar>
          <w:left w:w="70" w:type="dxa"/>
          <w:right w:w="70" w:type="dxa"/>
        </w:tblCellMar>
        <w:tblLook w:val="04A0" w:firstRow="1" w:lastRow="0" w:firstColumn="1" w:lastColumn="0" w:noHBand="0" w:noVBand="1"/>
      </w:tblPr>
      <w:tblGrid>
        <w:gridCol w:w="2684"/>
        <w:gridCol w:w="2268"/>
        <w:gridCol w:w="2268"/>
        <w:gridCol w:w="2136"/>
      </w:tblGrid>
      <w:tr w:rsidR="00910460" w:rsidRPr="0067246B" w:rsidTr="00B70D79">
        <w:trPr>
          <w:trHeight w:val="20"/>
          <w:jc w:val="center"/>
        </w:trPr>
        <w:tc>
          <w:tcPr>
            <w:tcW w:w="9356" w:type="dxa"/>
            <w:gridSpan w:val="4"/>
            <w:tcBorders>
              <w:top w:val="single" w:sz="2" w:space="0" w:color="70AD47" w:themeColor="accent6"/>
            </w:tcBorders>
            <w:shd w:val="clear" w:color="000000" w:fill="FFFFFF"/>
            <w:vAlign w:val="center"/>
            <w:hideMark/>
          </w:tcPr>
          <w:p w:rsidR="00910460" w:rsidRPr="0067246B" w:rsidRDefault="00910460" w:rsidP="00D41ACA">
            <w:pPr>
              <w:spacing w:after="0" w:line="240" w:lineRule="auto"/>
              <w:ind w:firstLineChars="100" w:firstLine="201"/>
              <w:rPr>
                <w:rFonts w:eastAsia="Times New Roman" w:cstheme="minorHAnsi"/>
                <w:b/>
                <w:bCs/>
                <w:color w:val="2B2B2B"/>
                <w:sz w:val="20"/>
                <w:szCs w:val="20"/>
                <w:lang w:eastAsia="es-ES"/>
              </w:rPr>
            </w:pPr>
            <w:r w:rsidRPr="0067246B">
              <w:rPr>
                <w:rFonts w:eastAsia="Times New Roman" w:cstheme="minorHAnsi"/>
                <w:b/>
                <w:bCs/>
                <w:color w:val="2B2B2B"/>
                <w:sz w:val="20"/>
                <w:szCs w:val="20"/>
                <w:lang w:eastAsia="es-ES"/>
              </w:rPr>
              <w:t>Precios de referencia</w:t>
            </w:r>
          </w:p>
          <w:p w:rsidR="00910460" w:rsidRPr="0067246B" w:rsidRDefault="00910460" w:rsidP="00D41ACA">
            <w:pPr>
              <w:spacing w:after="0" w:line="240" w:lineRule="auto"/>
              <w:ind w:firstLineChars="100" w:firstLine="180"/>
              <w:rPr>
                <w:rFonts w:eastAsia="Times New Roman" w:cstheme="minorHAnsi"/>
                <w:bCs/>
                <w:i/>
                <w:color w:val="2B2B2B"/>
                <w:sz w:val="18"/>
                <w:szCs w:val="18"/>
                <w:lang w:eastAsia="es-ES"/>
              </w:rPr>
            </w:pPr>
            <w:r w:rsidRPr="0067246B">
              <w:rPr>
                <w:rFonts w:eastAsia="Times New Roman" w:cstheme="minorHAnsi"/>
                <w:bCs/>
                <w:i/>
                <w:color w:val="2B2B2B"/>
                <w:sz w:val="18"/>
                <w:szCs w:val="18"/>
                <w:lang w:eastAsia="es-ES"/>
              </w:rPr>
              <w:t>(€/m² útil)</w:t>
            </w:r>
          </w:p>
        </w:tc>
      </w:tr>
      <w:tr w:rsidR="00910460" w:rsidRPr="0067246B" w:rsidTr="00B70D79">
        <w:trPr>
          <w:trHeight w:val="20"/>
          <w:jc w:val="center"/>
        </w:trPr>
        <w:tc>
          <w:tcPr>
            <w:tcW w:w="2684" w:type="dxa"/>
            <w:vMerge w:val="restart"/>
            <w:shd w:val="clear" w:color="auto" w:fill="E2EFD9" w:themeFill="accent6" w:themeFillTint="33"/>
            <w:vAlign w:val="center"/>
            <w:hideMark/>
          </w:tcPr>
          <w:p w:rsidR="00910460" w:rsidRPr="00717B0B" w:rsidRDefault="00910460" w:rsidP="006252A9">
            <w:pPr>
              <w:spacing w:after="0" w:line="240" w:lineRule="auto"/>
              <w:ind w:firstLineChars="100" w:firstLine="201"/>
              <w:rPr>
                <w:rFonts w:eastAsia="Times New Roman" w:cstheme="minorHAnsi"/>
                <w:b/>
                <w:color w:val="333333"/>
                <w:sz w:val="20"/>
                <w:szCs w:val="20"/>
                <w:lang w:eastAsia="es-ES"/>
              </w:rPr>
            </w:pPr>
            <w:r w:rsidRPr="00717B0B">
              <w:rPr>
                <w:rFonts w:eastAsia="Times New Roman" w:cstheme="minorHAnsi"/>
                <w:b/>
                <w:color w:val="333333"/>
                <w:sz w:val="20"/>
                <w:szCs w:val="20"/>
                <w:lang w:eastAsia="es-ES"/>
              </w:rPr>
              <w:t>Coeficiente Territorial</w:t>
            </w:r>
          </w:p>
        </w:tc>
        <w:tc>
          <w:tcPr>
            <w:tcW w:w="6672" w:type="dxa"/>
            <w:gridSpan w:val="3"/>
            <w:shd w:val="clear" w:color="auto" w:fill="E2EFD9" w:themeFill="accent6" w:themeFillTint="33"/>
            <w:vAlign w:val="center"/>
            <w:hideMark/>
          </w:tcPr>
          <w:p w:rsidR="00910460" w:rsidRPr="00717B0B" w:rsidRDefault="00910460" w:rsidP="006252A9">
            <w:pPr>
              <w:spacing w:after="0" w:line="240" w:lineRule="auto"/>
              <w:ind w:firstLineChars="100" w:firstLine="201"/>
              <w:jc w:val="center"/>
              <w:rPr>
                <w:rFonts w:eastAsia="Times New Roman" w:cstheme="minorHAnsi"/>
                <w:b/>
                <w:color w:val="333333"/>
                <w:sz w:val="20"/>
                <w:szCs w:val="20"/>
                <w:lang w:eastAsia="es-ES"/>
              </w:rPr>
            </w:pPr>
            <w:r w:rsidRPr="00717B0B">
              <w:rPr>
                <w:rFonts w:eastAsia="Times New Roman" w:cstheme="minorHAnsi"/>
                <w:b/>
                <w:color w:val="333333"/>
                <w:sz w:val="20"/>
                <w:szCs w:val="20"/>
                <w:lang w:eastAsia="es-ES"/>
              </w:rPr>
              <w:t>Coeficiente Categoría</w:t>
            </w:r>
          </w:p>
        </w:tc>
      </w:tr>
      <w:tr w:rsidR="00910460" w:rsidRPr="0067246B" w:rsidTr="00B70D79">
        <w:trPr>
          <w:trHeight w:val="20"/>
          <w:jc w:val="center"/>
        </w:trPr>
        <w:tc>
          <w:tcPr>
            <w:tcW w:w="2684" w:type="dxa"/>
            <w:vMerge/>
            <w:shd w:val="clear" w:color="auto" w:fill="E2EFD9" w:themeFill="accent6" w:themeFillTint="33"/>
            <w:vAlign w:val="center"/>
            <w:hideMark/>
          </w:tcPr>
          <w:p w:rsidR="00910460" w:rsidRPr="00717B0B" w:rsidRDefault="00910460" w:rsidP="006252A9">
            <w:pPr>
              <w:spacing w:after="0" w:line="240" w:lineRule="auto"/>
              <w:rPr>
                <w:rFonts w:eastAsia="Times New Roman" w:cstheme="minorHAnsi"/>
                <w:b/>
                <w:color w:val="333333"/>
                <w:sz w:val="20"/>
                <w:szCs w:val="20"/>
                <w:lang w:eastAsia="es-ES"/>
              </w:rPr>
            </w:pPr>
          </w:p>
        </w:tc>
        <w:tc>
          <w:tcPr>
            <w:tcW w:w="2268" w:type="dxa"/>
            <w:shd w:val="clear" w:color="auto" w:fill="E2EFD9" w:themeFill="accent6" w:themeFillTint="33"/>
            <w:vAlign w:val="center"/>
            <w:hideMark/>
          </w:tcPr>
          <w:p w:rsidR="00910460" w:rsidRPr="00717B0B" w:rsidRDefault="00910460" w:rsidP="00B70D79">
            <w:pPr>
              <w:spacing w:after="0" w:line="240" w:lineRule="auto"/>
              <w:ind w:firstLineChars="100" w:firstLine="201"/>
              <w:jc w:val="right"/>
              <w:rPr>
                <w:rFonts w:eastAsia="Times New Roman" w:cstheme="minorHAnsi"/>
                <w:b/>
                <w:color w:val="333333"/>
                <w:sz w:val="20"/>
                <w:szCs w:val="20"/>
                <w:lang w:eastAsia="es-ES"/>
              </w:rPr>
            </w:pPr>
            <w:r w:rsidRPr="00717B0B">
              <w:rPr>
                <w:rFonts w:eastAsia="Times New Roman" w:cstheme="minorHAnsi"/>
                <w:b/>
                <w:color w:val="333333"/>
                <w:sz w:val="20"/>
                <w:szCs w:val="20"/>
                <w:lang w:eastAsia="es-ES"/>
              </w:rPr>
              <w:t>Régimen Especial (1,5)</w:t>
            </w:r>
          </w:p>
        </w:tc>
        <w:tc>
          <w:tcPr>
            <w:tcW w:w="2268" w:type="dxa"/>
            <w:shd w:val="clear" w:color="auto" w:fill="E2EFD9" w:themeFill="accent6" w:themeFillTint="33"/>
            <w:vAlign w:val="center"/>
            <w:hideMark/>
          </w:tcPr>
          <w:p w:rsidR="00910460" w:rsidRPr="00717B0B" w:rsidRDefault="00910460" w:rsidP="00B70D79">
            <w:pPr>
              <w:spacing w:after="0" w:line="240" w:lineRule="auto"/>
              <w:ind w:firstLineChars="100" w:firstLine="201"/>
              <w:jc w:val="right"/>
              <w:rPr>
                <w:rFonts w:eastAsia="Times New Roman" w:cstheme="minorHAnsi"/>
                <w:b/>
                <w:color w:val="333333"/>
                <w:sz w:val="20"/>
                <w:szCs w:val="20"/>
                <w:lang w:eastAsia="es-ES"/>
              </w:rPr>
            </w:pPr>
            <w:r w:rsidRPr="00717B0B">
              <w:rPr>
                <w:rFonts w:eastAsia="Times New Roman" w:cstheme="minorHAnsi"/>
                <w:b/>
                <w:color w:val="333333"/>
                <w:sz w:val="20"/>
                <w:szCs w:val="20"/>
                <w:lang w:eastAsia="es-ES"/>
              </w:rPr>
              <w:t>Régimen General (1,7)</w:t>
            </w:r>
          </w:p>
        </w:tc>
        <w:tc>
          <w:tcPr>
            <w:tcW w:w="2136" w:type="dxa"/>
            <w:shd w:val="clear" w:color="auto" w:fill="E2EFD9" w:themeFill="accent6" w:themeFillTint="33"/>
            <w:vAlign w:val="center"/>
            <w:hideMark/>
          </w:tcPr>
          <w:p w:rsidR="00910460" w:rsidRPr="00717B0B" w:rsidRDefault="00910460" w:rsidP="00B70D79">
            <w:pPr>
              <w:spacing w:after="0" w:line="240" w:lineRule="auto"/>
              <w:ind w:firstLineChars="100" w:firstLine="201"/>
              <w:jc w:val="right"/>
              <w:rPr>
                <w:rFonts w:eastAsia="Times New Roman" w:cstheme="minorHAnsi"/>
                <w:b/>
                <w:color w:val="333333"/>
                <w:sz w:val="20"/>
                <w:szCs w:val="20"/>
                <w:lang w:eastAsia="es-ES"/>
              </w:rPr>
            </w:pPr>
            <w:r w:rsidRPr="00717B0B">
              <w:rPr>
                <w:rFonts w:eastAsia="Times New Roman" w:cstheme="minorHAnsi"/>
                <w:b/>
                <w:color w:val="333333"/>
                <w:sz w:val="20"/>
                <w:szCs w:val="20"/>
                <w:lang w:eastAsia="es-ES"/>
              </w:rPr>
              <w:t>Precio limitado (2,0)</w:t>
            </w:r>
          </w:p>
        </w:tc>
      </w:tr>
      <w:tr w:rsidR="00910460" w:rsidRPr="0067246B" w:rsidTr="00B70D79">
        <w:trPr>
          <w:trHeight w:val="20"/>
          <w:jc w:val="center"/>
        </w:trPr>
        <w:tc>
          <w:tcPr>
            <w:tcW w:w="2684" w:type="dxa"/>
            <w:shd w:val="clear" w:color="000000" w:fill="FFFFFF"/>
            <w:vAlign w:val="center"/>
            <w:hideMark/>
          </w:tcPr>
          <w:p w:rsidR="00910460" w:rsidRPr="0067246B" w:rsidRDefault="00910460" w:rsidP="006252A9">
            <w:pPr>
              <w:spacing w:after="0" w:line="240" w:lineRule="auto"/>
              <w:ind w:firstLineChars="100" w:firstLine="200"/>
              <w:rPr>
                <w:rFonts w:eastAsia="Times New Roman" w:cstheme="minorHAnsi"/>
                <w:color w:val="333333"/>
                <w:sz w:val="20"/>
                <w:szCs w:val="20"/>
                <w:lang w:eastAsia="es-ES"/>
              </w:rPr>
            </w:pPr>
            <w:r w:rsidRPr="0067246B">
              <w:rPr>
                <w:rFonts w:eastAsia="Times New Roman" w:cstheme="minorHAnsi"/>
                <w:color w:val="333333"/>
                <w:sz w:val="20"/>
                <w:szCs w:val="20"/>
                <w:lang w:eastAsia="es-ES"/>
              </w:rPr>
              <w:t>Municipios Grupo D (1,07)</w:t>
            </w:r>
          </w:p>
        </w:tc>
        <w:tc>
          <w:tcPr>
            <w:tcW w:w="2268"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1.219,80 €/m²</w:t>
            </w:r>
          </w:p>
        </w:tc>
        <w:tc>
          <w:tcPr>
            <w:tcW w:w="2268"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1.382,44 €/m²</w:t>
            </w:r>
          </w:p>
        </w:tc>
        <w:tc>
          <w:tcPr>
            <w:tcW w:w="2136"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1.626,40 €/m²</w:t>
            </w:r>
          </w:p>
        </w:tc>
      </w:tr>
      <w:tr w:rsidR="00910460" w:rsidRPr="0067246B" w:rsidTr="00B70D79">
        <w:trPr>
          <w:trHeight w:val="20"/>
          <w:jc w:val="center"/>
        </w:trPr>
        <w:tc>
          <w:tcPr>
            <w:tcW w:w="2684" w:type="dxa"/>
            <w:shd w:val="clear" w:color="000000" w:fill="FFFFFF"/>
            <w:vAlign w:val="center"/>
            <w:hideMark/>
          </w:tcPr>
          <w:p w:rsidR="00910460" w:rsidRPr="0067246B" w:rsidRDefault="00910460" w:rsidP="006252A9">
            <w:pPr>
              <w:spacing w:after="0" w:line="240" w:lineRule="auto"/>
              <w:ind w:firstLineChars="100" w:firstLine="200"/>
              <w:rPr>
                <w:rFonts w:eastAsia="Times New Roman" w:cstheme="minorHAnsi"/>
                <w:color w:val="333333"/>
                <w:sz w:val="20"/>
                <w:szCs w:val="20"/>
                <w:lang w:eastAsia="es-ES"/>
              </w:rPr>
            </w:pPr>
            <w:r w:rsidRPr="0067246B">
              <w:rPr>
                <w:rFonts w:eastAsia="Times New Roman" w:cstheme="minorHAnsi"/>
                <w:color w:val="333333"/>
                <w:sz w:val="20"/>
                <w:szCs w:val="20"/>
                <w:lang w:eastAsia="es-ES"/>
              </w:rPr>
              <w:t>Municipios Grupo C (1,15)</w:t>
            </w:r>
          </w:p>
        </w:tc>
        <w:tc>
          <w:tcPr>
            <w:tcW w:w="2268"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1.311,00 €/m²</w:t>
            </w:r>
          </w:p>
        </w:tc>
        <w:tc>
          <w:tcPr>
            <w:tcW w:w="2268"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1.485,80 €/m²</w:t>
            </w:r>
          </w:p>
        </w:tc>
        <w:tc>
          <w:tcPr>
            <w:tcW w:w="2136"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1.748,00 €/m²</w:t>
            </w:r>
          </w:p>
        </w:tc>
      </w:tr>
      <w:tr w:rsidR="00910460" w:rsidRPr="0067246B" w:rsidTr="00B70D79">
        <w:trPr>
          <w:trHeight w:val="20"/>
          <w:jc w:val="center"/>
        </w:trPr>
        <w:tc>
          <w:tcPr>
            <w:tcW w:w="2684" w:type="dxa"/>
            <w:shd w:val="clear" w:color="000000" w:fill="FFFFFF"/>
            <w:vAlign w:val="center"/>
            <w:hideMark/>
          </w:tcPr>
          <w:p w:rsidR="00910460" w:rsidRPr="0067246B" w:rsidRDefault="00910460" w:rsidP="006252A9">
            <w:pPr>
              <w:spacing w:after="0" w:line="240" w:lineRule="auto"/>
              <w:ind w:firstLineChars="100" w:firstLine="200"/>
              <w:rPr>
                <w:rFonts w:eastAsia="Times New Roman" w:cstheme="minorHAnsi"/>
                <w:color w:val="333333"/>
                <w:sz w:val="20"/>
                <w:szCs w:val="20"/>
                <w:lang w:eastAsia="es-ES"/>
              </w:rPr>
            </w:pPr>
            <w:r w:rsidRPr="0067246B">
              <w:rPr>
                <w:rFonts w:eastAsia="Times New Roman" w:cstheme="minorHAnsi"/>
                <w:color w:val="333333"/>
                <w:sz w:val="20"/>
                <w:szCs w:val="20"/>
                <w:lang w:eastAsia="es-ES"/>
              </w:rPr>
              <w:t>Municipios Grupo B (1,30)</w:t>
            </w:r>
          </w:p>
        </w:tc>
        <w:tc>
          <w:tcPr>
            <w:tcW w:w="2268"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1.482,00 €/m²</w:t>
            </w:r>
          </w:p>
        </w:tc>
        <w:tc>
          <w:tcPr>
            <w:tcW w:w="2268"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1.679,60 €/m²</w:t>
            </w:r>
          </w:p>
        </w:tc>
        <w:tc>
          <w:tcPr>
            <w:tcW w:w="2136"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1.976,00 €/m²</w:t>
            </w:r>
          </w:p>
        </w:tc>
      </w:tr>
      <w:tr w:rsidR="00910460" w:rsidRPr="0067246B" w:rsidTr="00B70D79">
        <w:trPr>
          <w:trHeight w:val="20"/>
          <w:jc w:val="center"/>
        </w:trPr>
        <w:tc>
          <w:tcPr>
            <w:tcW w:w="2684" w:type="dxa"/>
            <w:shd w:val="clear" w:color="000000" w:fill="FFFFFF"/>
            <w:vAlign w:val="center"/>
            <w:hideMark/>
          </w:tcPr>
          <w:p w:rsidR="00910460" w:rsidRPr="0067246B" w:rsidRDefault="00910460" w:rsidP="006252A9">
            <w:pPr>
              <w:spacing w:after="0" w:line="240" w:lineRule="auto"/>
              <w:ind w:firstLineChars="100" w:firstLine="200"/>
              <w:rPr>
                <w:rFonts w:eastAsia="Times New Roman" w:cstheme="minorHAnsi"/>
                <w:color w:val="333333"/>
                <w:sz w:val="20"/>
                <w:szCs w:val="20"/>
                <w:lang w:eastAsia="es-ES"/>
              </w:rPr>
            </w:pPr>
            <w:r w:rsidRPr="0067246B">
              <w:rPr>
                <w:rFonts w:eastAsia="Times New Roman" w:cstheme="minorHAnsi"/>
                <w:color w:val="333333"/>
                <w:sz w:val="20"/>
                <w:szCs w:val="20"/>
                <w:lang w:eastAsia="es-ES"/>
              </w:rPr>
              <w:t>Municipios Grupo A (1,45)</w:t>
            </w:r>
          </w:p>
        </w:tc>
        <w:tc>
          <w:tcPr>
            <w:tcW w:w="2268"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1.653,00 €/m²</w:t>
            </w:r>
          </w:p>
        </w:tc>
        <w:tc>
          <w:tcPr>
            <w:tcW w:w="2268"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1.873,40 €/m²</w:t>
            </w:r>
          </w:p>
        </w:tc>
        <w:tc>
          <w:tcPr>
            <w:tcW w:w="2136" w:type="dxa"/>
            <w:shd w:val="clear" w:color="000000" w:fill="FFFFFF"/>
            <w:vAlign w:val="center"/>
            <w:hideMark/>
          </w:tcPr>
          <w:p w:rsidR="00910460" w:rsidRPr="0067246B" w:rsidRDefault="00910460" w:rsidP="006252A9">
            <w:pPr>
              <w:spacing w:after="0" w:line="240" w:lineRule="auto"/>
              <w:ind w:firstLineChars="100" w:firstLine="200"/>
              <w:jc w:val="right"/>
              <w:rPr>
                <w:rFonts w:eastAsia="Times New Roman" w:cstheme="minorHAnsi"/>
                <w:color w:val="333333"/>
                <w:sz w:val="20"/>
                <w:szCs w:val="20"/>
                <w:lang w:eastAsia="es-ES"/>
              </w:rPr>
            </w:pPr>
            <w:r w:rsidRPr="0067246B">
              <w:rPr>
                <w:rFonts w:eastAsia="Times New Roman" w:cstheme="minorHAnsi"/>
                <w:color w:val="333333"/>
                <w:sz w:val="20"/>
                <w:szCs w:val="20"/>
                <w:lang w:eastAsia="es-ES"/>
              </w:rPr>
              <w:t>2.204,00 €/m²</w:t>
            </w:r>
          </w:p>
        </w:tc>
      </w:tr>
      <w:tr w:rsidR="00910460" w:rsidRPr="0067246B" w:rsidTr="00B70D79">
        <w:trPr>
          <w:trHeight w:val="20"/>
          <w:jc w:val="center"/>
        </w:trPr>
        <w:tc>
          <w:tcPr>
            <w:tcW w:w="9356" w:type="dxa"/>
            <w:gridSpan w:val="4"/>
            <w:tcBorders>
              <w:bottom w:val="single" w:sz="2" w:space="0" w:color="70AD47" w:themeColor="accent6"/>
            </w:tcBorders>
            <w:shd w:val="clear" w:color="000000" w:fill="FFFFFF"/>
            <w:vAlign w:val="center"/>
          </w:tcPr>
          <w:p w:rsidR="00910460" w:rsidRPr="009C4B88" w:rsidRDefault="00910460" w:rsidP="006252A9">
            <w:pPr>
              <w:spacing w:after="0" w:line="240" w:lineRule="auto"/>
              <w:rPr>
                <w:rFonts w:eastAsia="Times New Roman" w:cstheme="minorHAnsi"/>
                <w:color w:val="333333"/>
                <w:sz w:val="18"/>
                <w:szCs w:val="18"/>
                <w:lang w:eastAsia="es-ES"/>
              </w:rPr>
            </w:pPr>
            <w:r>
              <w:rPr>
                <w:rFonts w:eastAsia="Times New Roman" w:cstheme="minorHAnsi"/>
                <w:color w:val="333333"/>
                <w:sz w:val="18"/>
                <w:szCs w:val="18"/>
                <w:lang w:eastAsia="es-ES"/>
              </w:rPr>
              <w:t>Fuente</w:t>
            </w:r>
            <w:r w:rsidRPr="009C4B88">
              <w:rPr>
                <w:rFonts w:eastAsia="Times New Roman" w:cstheme="minorHAnsi"/>
                <w:color w:val="333333"/>
                <w:sz w:val="18"/>
                <w:szCs w:val="18"/>
                <w:lang w:eastAsia="es-ES"/>
              </w:rPr>
              <w:t xml:space="preserve">: </w:t>
            </w:r>
            <w:r w:rsidRPr="009C4B88">
              <w:rPr>
                <w:rFonts w:cstheme="minorHAnsi"/>
                <w:color w:val="111111"/>
                <w:sz w:val="18"/>
                <w:szCs w:val="18"/>
                <w:shd w:val="clear" w:color="auto" w:fill="FFFFFF"/>
              </w:rPr>
              <w:t>Plan Vive en Andalucía, de vivienda, rehabilitación y regeneración urbana de Andalucía 2020-2030</w:t>
            </w:r>
            <w:r>
              <w:rPr>
                <w:rFonts w:cstheme="minorHAnsi"/>
                <w:color w:val="111111"/>
                <w:sz w:val="18"/>
                <w:szCs w:val="18"/>
                <w:shd w:val="clear" w:color="auto" w:fill="FFFFFF"/>
              </w:rPr>
              <w:t xml:space="preserve"> (</w:t>
            </w:r>
            <w:r w:rsidRPr="009C4B88">
              <w:rPr>
                <w:rFonts w:cstheme="minorHAnsi"/>
                <w:sz w:val="18"/>
                <w:szCs w:val="18"/>
                <w:shd w:val="clear" w:color="auto" w:fill="FFFFFF"/>
              </w:rPr>
              <w:t>Anexo V</w:t>
            </w:r>
            <w:r>
              <w:rPr>
                <w:rFonts w:cstheme="minorHAnsi"/>
                <w:color w:val="111111"/>
                <w:sz w:val="18"/>
                <w:szCs w:val="18"/>
                <w:shd w:val="clear" w:color="auto" w:fill="FFFFFF"/>
              </w:rPr>
              <w:t xml:space="preserve"> </w:t>
            </w:r>
            <w:r w:rsidRPr="009C4B88">
              <w:rPr>
                <w:rFonts w:cstheme="minorHAnsi"/>
                <w:color w:val="111111"/>
                <w:sz w:val="18"/>
                <w:szCs w:val="18"/>
                <w:shd w:val="clear" w:color="auto" w:fill="FFFFFF"/>
              </w:rPr>
              <w:t>del D</w:t>
            </w:r>
            <w:r>
              <w:rPr>
                <w:rFonts w:cstheme="minorHAnsi"/>
                <w:color w:val="111111"/>
                <w:sz w:val="18"/>
                <w:szCs w:val="18"/>
                <w:shd w:val="clear" w:color="auto" w:fill="FFFFFF"/>
              </w:rPr>
              <w:t>ecreto 91/2020, de 30 de junio).</w:t>
            </w:r>
          </w:p>
        </w:tc>
      </w:tr>
    </w:tbl>
    <w:p w:rsidR="00910460" w:rsidRDefault="00910460" w:rsidP="00910460"/>
    <w:p w:rsidR="00910460" w:rsidRPr="00F4119A" w:rsidRDefault="00910460" w:rsidP="00910460">
      <w:pPr>
        <w:jc w:val="both"/>
      </w:pPr>
      <w:r>
        <w:t xml:space="preserve">El módulo básico ha sido actualizado recientemente, según se recoge en el Decreto-ley 3/2024, de 6 de febrero, </w:t>
      </w:r>
      <w:r w:rsidRPr="00F4119A">
        <w:t>por el que se adoptan medidas de simplificación y racionalización administrativa para la mejora de las relaciones de los ciudadanos con la Administración de la Junta de Andalucía y el impulso de la actividad económica en Andalucía</w:t>
      </w:r>
      <w:r>
        <w:t xml:space="preserve">. En concreto, se modifica el artículo 19 del Decreto 91/2020, incrementando el módulo un 14,5% y estableciendo </w:t>
      </w:r>
      <w:r w:rsidRPr="00F4119A">
        <w:t xml:space="preserve">una actualización anual automática en función del Índice de Precios de Consumo (IPC), </w:t>
      </w:r>
      <w:r>
        <w:t xml:space="preserve">como respuesta a </w:t>
      </w:r>
      <w:r w:rsidRPr="00F4119A">
        <w:t>la subida de los cos</w:t>
      </w:r>
      <w:r>
        <w:t>t</w:t>
      </w:r>
      <w:r w:rsidRPr="00F4119A">
        <w:t xml:space="preserve">es de la construcción en los últimos tres años. El nuevo módulo básico </w:t>
      </w:r>
      <w:r>
        <w:t>ascendería a 870 euros/m</w:t>
      </w:r>
      <w:r w:rsidRPr="00F4119A">
        <w:rPr>
          <w:vertAlign w:val="superscript"/>
        </w:rPr>
        <w:t>2</w:t>
      </w:r>
      <w:r>
        <w:t>, de tal modo que los precios de referencia oscilarían entre 1.396,</w:t>
      </w:r>
      <w:r w:rsidR="00F31CE2">
        <w:t>35</w:t>
      </w:r>
      <w:r>
        <w:t xml:space="preserve"> y 2.523,</w:t>
      </w:r>
      <w:r w:rsidR="00F31CE2">
        <w:t>00</w:t>
      </w:r>
      <w:r>
        <w:t xml:space="preserve"> euros.</w:t>
      </w:r>
    </w:p>
    <w:p w:rsidR="00C8327B" w:rsidRDefault="00C8327B"/>
    <w:p w:rsidR="00947BD3" w:rsidRPr="00947BD3" w:rsidRDefault="00947BD3">
      <w:pPr>
        <w:rPr>
          <w:b/>
        </w:rPr>
      </w:pPr>
      <w:r w:rsidRPr="00947BD3">
        <w:rPr>
          <w:b/>
        </w:rPr>
        <w:t>I.1.</w:t>
      </w:r>
      <w:r w:rsidR="003F1283">
        <w:rPr>
          <w:b/>
        </w:rPr>
        <w:t>6</w:t>
      </w:r>
      <w:r w:rsidRPr="00947BD3">
        <w:rPr>
          <w:b/>
        </w:rPr>
        <w:t>. Presupuestos públicos</w:t>
      </w:r>
    </w:p>
    <w:p w:rsidR="002A64CF" w:rsidRDefault="002A64CF" w:rsidP="002A64CF">
      <w:pPr>
        <w:jc w:val="both"/>
      </w:pPr>
      <w:r>
        <w:t xml:space="preserve">Entre 2013 y 2023, los presupuestos de Andalucía destinaron en promedio alrededor de 100 millones de euros anuales al programa de </w:t>
      </w:r>
      <w:r w:rsidRPr="0051272E">
        <w:rPr>
          <w:i/>
        </w:rPr>
        <w:t>acceso a la vivienda y fomento de la edificación</w:t>
      </w:r>
      <w:r>
        <w:rPr>
          <w:rStyle w:val="Refdenotaalpie"/>
          <w:i/>
        </w:rPr>
        <w:footnoteReference w:id="2"/>
      </w:r>
      <w:r>
        <w:t xml:space="preserve">, con mínimos de 43,3 millones en 2020 y máximos de 265,7 millones en 2023 (datos disponibles del presupuesto inicial para este año), lo que supone de media alrededor del 3,3% del gasto </w:t>
      </w:r>
      <w:r>
        <w:lastRenderedPageBreak/>
        <w:t xml:space="preserve">destinado a actuaciones de </w:t>
      </w:r>
      <w:r w:rsidRPr="0051272E">
        <w:rPr>
          <w:i/>
        </w:rPr>
        <w:t xml:space="preserve">protección y promoción social </w:t>
      </w:r>
      <w:r>
        <w:t>y en torno al 0,3% del gasto total presupuestado de la comunidad.</w:t>
      </w:r>
    </w:p>
    <w:p w:rsidR="002A64CF" w:rsidRDefault="002A64CF" w:rsidP="002A64CF">
      <w:pPr>
        <w:jc w:val="both"/>
      </w:pPr>
      <w:r>
        <w:t xml:space="preserve">Desde 2021 el gasto ha venido creciendo. En 2023 la cuantía presupuestada destinada al </w:t>
      </w:r>
      <w:r w:rsidRPr="002B39B2">
        <w:rPr>
          <w:i/>
        </w:rPr>
        <w:t>acceso a la vivienda</w:t>
      </w:r>
      <w:r>
        <w:t xml:space="preserve"> superó, como se ha comentado en el párrafo anterior, los 265 millones de euros, lo que representa en torno al 6,5% del gasto destinado a protección y promoción social (el porcentaje más alto de la última década), así como el 0,6% del gasto total presupuestado. </w:t>
      </w:r>
    </w:p>
    <w:p w:rsidR="00A83E03" w:rsidRDefault="00A83E03" w:rsidP="002A64CF">
      <w:pPr>
        <w:jc w:val="both"/>
      </w:pPr>
      <w:r w:rsidRPr="00A83E03">
        <w:rPr>
          <w:noProof/>
          <w:lang w:eastAsia="es-ES"/>
        </w:rPr>
        <w:drawing>
          <wp:inline distT="0" distB="0" distL="0" distR="0">
            <wp:extent cx="5400040" cy="303029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3030291"/>
                    </a:xfrm>
                    <a:prstGeom prst="rect">
                      <a:avLst/>
                    </a:prstGeom>
                    <a:noFill/>
                    <a:ln>
                      <a:noFill/>
                    </a:ln>
                  </pic:spPr>
                </pic:pic>
              </a:graphicData>
            </a:graphic>
          </wp:inline>
        </w:drawing>
      </w:r>
    </w:p>
    <w:p w:rsidR="002A64CF" w:rsidRDefault="002A64CF" w:rsidP="002A64CF">
      <w:pPr>
        <w:jc w:val="both"/>
      </w:pPr>
    </w:p>
    <w:p w:rsidR="002A64CF" w:rsidRDefault="002A64CF" w:rsidP="002A64CF">
      <w:pPr>
        <w:jc w:val="both"/>
      </w:pPr>
      <w:r w:rsidRPr="00E75F96">
        <w:t>La información de 2023</w:t>
      </w:r>
      <w:r>
        <w:t xml:space="preserve"> de los presupuestos por comunidades</w:t>
      </w:r>
      <w:r w:rsidRPr="00E75F96">
        <w:t xml:space="preserve"> muestra que Andalucía es</w:t>
      </w:r>
      <w:r>
        <w:t xml:space="preserve"> la tercera comunidad por detrás de Madrid y Comunidad Valenciana, con</w:t>
      </w:r>
      <w:r w:rsidRPr="00E75F96">
        <w:t xml:space="preserve"> mayor partida presupuestaria dedica al </w:t>
      </w:r>
      <w:r w:rsidRPr="00167347">
        <w:rPr>
          <w:i/>
        </w:rPr>
        <w:t>acceso a la vivienda y fomento de la edificación</w:t>
      </w:r>
      <w:r>
        <w:rPr>
          <w:rStyle w:val="Refdenotaalpie"/>
          <w:i/>
        </w:rPr>
        <w:t>1</w:t>
      </w:r>
      <w:r w:rsidRPr="00E75F96">
        <w:t xml:space="preserve">, con </w:t>
      </w:r>
      <w:r>
        <w:t>265,7 millones de euros. Esta partida ha aumentado en todas las comunidades con relación al dato de 2013.</w:t>
      </w:r>
    </w:p>
    <w:p w:rsidR="002A64CF" w:rsidRDefault="002A64CF" w:rsidP="002A64CF">
      <w:pPr>
        <w:jc w:val="both"/>
      </w:pPr>
      <w:r>
        <w:t xml:space="preserve">Sin embargo, si relacionamos con el gasto total presupuestado en cada comunidad autónoma, en Andalucía, la partida de </w:t>
      </w:r>
      <w:r w:rsidRPr="0011592C">
        <w:rPr>
          <w:i/>
        </w:rPr>
        <w:t>acceso a la vivienda y</w:t>
      </w:r>
      <w:r>
        <w:rPr>
          <w:i/>
        </w:rPr>
        <w:t xml:space="preserve"> fomento de la edificación</w:t>
      </w:r>
      <w:r>
        <w:t xml:space="preserve"> tiene un peso del 0,6% en 2023, inferior a la media nacional (0,9%), situándose como la quinta con menor peso de esta partida. Si relativizamos respecto a la población de cada territorio, el dato de Andalucía ronda los 30.000 euros cada 1.000 habitantes, por lo que se sitúa en el puesto número 13, por debajo del promedio nacional que se sitúa algo por encima de los 46.000 por cada 1.000 habitantes. </w:t>
      </w:r>
    </w:p>
    <w:p w:rsidR="002A64CF" w:rsidRDefault="002A64CF" w:rsidP="002A64CF">
      <w:pPr>
        <w:jc w:val="both"/>
      </w:pPr>
    </w:p>
    <w:p w:rsidR="002A64CF" w:rsidRDefault="002A64CF" w:rsidP="002A64CF">
      <w:pPr>
        <w:jc w:val="both"/>
      </w:pPr>
    </w:p>
    <w:p w:rsidR="0034722E" w:rsidRDefault="0034722E" w:rsidP="002A64CF">
      <w:pPr>
        <w:jc w:val="both"/>
      </w:pPr>
      <w:r w:rsidRPr="0034722E">
        <w:rPr>
          <w:noProof/>
          <w:lang w:eastAsia="es-ES"/>
        </w:rPr>
        <w:lastRenderedPageBreak/>
        <w:drawing>
          <wp:inline distT="0" distB="0" distL="0" distR="0">
            <wp:extent cx="5400040" cy="303029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030291"/>
                    </a:xfrm>
                    <a:prstGeom prst="rect">
                      <a:avLst/>
                    </a:prstGeom>
                    <a:noFill/>
                    <a:ln>
                      <a:noFill/>
                    </a:ln>
                  </pic:spPr>
                </pic:pic>
              </a:graphicData>
            </a:graphic>
          </wp:inline>
        </w:drawing>
      </w:r>
    </w:p>
    <w:p w:rsidR="002A64CF" w:rsidRDefault="002A64CF" w:rsidP="002A64CF">
      <w:pPr>
        <w:jc w:val="both"/>
      </w:pPr>
    </w:p>
    <w:p w:rsidR="0034722E" w:rsidRDefault="0034722E" w:rsidP="0034722E">
      <w:pPr>
        <w:jc w:val="center"/>
      </w:pPr>
      <w:r w:rsidRPr="0034722E">
        <w:rPr>
          <w:noProof/>
          <w:lang w:eastAsia="es-ES"/>
        </w:rPr>
        <w:drawing>
          <wp:inline distT="0" distB="0" distL="0" distR="0">
            <wp:extent cx="4572000" cy="3425825"/>
            <wp:effectExtent l="0" t="0" r="0" b="31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3425825"/>
                    </a:xfrm>
                    <a:prstGeom prst="rect">
                      <a:avLst/>
                    </a:prstGeom>
                    <a:noFill/>
                    <a:ln>
                      <a:noFill/>
                    </a:ln>
                  </pic:spPr>
                </pic:pic>
              </a:graphicData>
            </a:graphic>
          </wp:inline>
        </w:drawing>
      </w:r>
    </w:p>
    <w:p w:rsidR="002A64CF" w:rsidRPr="00E75F96" w:rsidRDefault="002A64CF" w:rsidP="002A64CF">
      <w:pPr>
        <w:jc w:val="both"/>
      </w:pPr>
    </w:p>
    <w:p w:rsidR="00E53F3F" w:rsidRPr="00751264" w:rsidRDefault="00E53F3F">
      <w:pPr>
        <w:rPr>
          <w:b/>
          <w:sz w:val="24"/>
          <w:szCs w:val="24"/>
        </w:rPr>
      </w:pPr>
      <w:r w:rsidRPr="00751264">
        <w:rPr>
          <w:b/>
          <w:sz w:val="24"/>
          <w:szCs w:val="24"/>
        </w:rPr>
        <w:t>I.2. Planes de Vivienda</w:t>
      </w:r>
      <w:r w:rsidR="00F14DB4" w:rsidRPr="00751264">
        <w:rPr>
          <w:b/>
          <w:sz w:val="24"/>
          <w:szCs w:val="24"/>
        </w:rPr>
        <w:t xml:space="preserve"> 1999-2021</w:t>
      </w:r>
    </w:p>
    <w:p w:rsidR="00F14DB4" w:rsidRDefault="00F14DB4" w:rsidP="00F14DB4">
      <w:pPr>
        <w:jc w:val="both"/>
      </w:pPr>
      <w:r>
        <w:t xml:space="preserve">Entre 2001 y 2021, la población Andaluza ha pasado de 7,4 a 8,5 millones de habitantes y los hogares de 2,4 a 3,2 millones, de los que, según la Encuesta de Condiciones de Vida de 2022 (INE), el 29,1% se encuentra en riesgo de pobreza y el 11,3% tienen una carencia material y social severa. Estas cifras ponen de manifiesto, junto a la demanda latente de jóvenes que no pueden acceder a una vivienda, la necesidad de intervención del sector público en el mercado de la vivienda para intentar garantizar el acceso a una vivienda asequible y </w:t>
      </w:r>
      <w:r w:rsidR="00AC71D9">
        <w:t>adecuada</w:t>
      </w:r>
      <w:r>
        <w:t xml:space="preserve">. Los poderes </w:t>
      </w:r>
      <w:r>
        <w:lastRenderedPageBreak/>
        <w:t xml:space="preserve">públicos son los responsables de hacer efectivo el derecho a la vivienda recogido en el artículo 47 de la Constitución y en el artículo 25 del Estatuto de Autonomía de Andalucía. </w:t>
      </w:r>
    </w:p>
    <w:p w:rsidR="00F14DB4" w:rsidRDefault="00F14DB4" w:rsidP="00F14DB4">
      <w:pPr>
        <w:jc w:val="both"/>
      </w:pPr>
      <w:r>
        <w:t>En esta sección, se van a recopilar, sucintamente, los objetivos y resultados de las actuaciones y planes de vivienda que se han elaborado por la Consejería de Fomento, Articulación del Territorio y Vivienda para el período 1999-2021. Previamente se van a reseñar los principales elementos que configuran los planes de vivienda a lo largo de este período.</w:t>
      </w:r>
    </w:p>
    <w:p w:rsidR="00F14DB4" w:rsidRDefault="00F14DB4" w:rsidP="00F14DB4">
      <w:pPr>
        <w:autoSpaceDE w:val="0"/>
        <w:autoSpaceDN w:val="0"/>
        <w:adjustRightInd w:val="0"/>
        <w:spacing w:after="0" w:line="240" w:lineRule="auto"/>
        <w:jc w:val="both"/>
      </w:pPr>
      <w:r>
        <w:t xml:space="preserve">Los distintos planes de vivienda articulados desde el Gobierno Central y las Comunidades Autónomas han buscado “medidas de carácter económico, como </w:t>
      </w:r>
      <w:r w:rsidRPr="00852C42">
        <w:t>corregir</w:t>
      </w:r>
      <w:r>
        <w:t xml:space="preserve"> </w:t>
      </w:r>
      <w:r w:rsidRPr="00852C42">
        <w:t>determinadas ineficiencias o fallos de los mercados de</w:t>
      </w:r>
      <w:r>
        <w:t xml:space="preserve"> </w:t>
      </w:r>
      <w:r w:rsidRPr="00852C42">
        <w:t>la vivienda, y de carácter social, brindando su</w:t>
      </w:r>
      <w:r>
        <w:t xml:space="preserve"> </w:t>
      </w:r>
      <w:r w:rsidRPr="00852C42">
        <w:t>apoyo selectivo a aquellos grupos sociales con mayores</w:t>
      </w:r>
      <w:r>
        <w:t xml:space="preserve"> </w:t>
      </w:r>
      <w:r w:rsidRPr="00852C42">
        <w:t>dificultades para acceder a viviendas dignas</w:t>
      </w:r>
      <w:r>
        <w:t>” (Exposición de motivos del Real Decreto 1/2002), señalando como causas de estos fallos o desequilibrios la reducida proporción del parque de viviendas ofrecido en alquiler, el fuerte incremento de precios observado en los distintos períodos y el retroceso o disminución de la oferta de vivienda protegida.</w:t>
      </w:r>
    </w:p>
    <w:p w:rsidR="00F14DB4" w:rsidRDefault="00F14DB4" w:rsidP="00F14DB4">
      <w:pPr>
        <w:autoSpaceDE w:val="0"/>
        <w:autoSpaceDN w:val="0"/>
        <w:adjustRightInd w:val="0"/>
        <w:spacing w:after="0" w:line="240" w:lineRule="auto"/>
        <w:jc w:val="both"/>
      </w:pPr>
    </w:p>
    <w:p w:rsidR="00F14DB4" w:rsidRDefault="00F14DB4" w:rsidP="00F14DB4">
      <w:pPr>
        <w:autoSpaceDE w:val="0"/>
        <w:autoSpaceDN w:val="0"/>
        <w:adjustRightInd w:val="0"/>
        <w:spacing w:after="0" w:line="240" w:lineRule="auto"/>
        <w:jc w:val="both"/>
      </w:pPr>
      <w:r>
        <w:t>Los destinatarios de estos planes han sido de manera reiterada las familias con recursos limitados, los jóvenes, los mayores, las familias numerosas, las familias monoparentales, las familias que convivan con personas en situación de dependencia, así como los municipios en actuaciones para la provisión de suelo y para la rehabilitación de viviendas y de barrios degradados.</w:t>
      </w:r>
    </w:p>
    <w:p w:rsidR="00F14DB4" w:rsidRDefault="00F14DB4" w:rsidP="00F14DB4">
      <w:pPr>
        <w:autoSpaceDE w:val="0"/>
        <w:autoSpaceDN w:val="0"/>
        <w:adjustRightInd w:val="0"/>
        <w:spacing w:after="0" w:line="240" w:lineRule="auto"/>
        <w:jc w:val="both"/>
      </w:pPr>
    </w:p>
    <w:p w:rsidR="00F14DB4" w:rsidRDefault="00F14DB4" w:rsidP="00F14DB4">
      <w:pPr>
        <w:autoSpaceDE w:val="0"/>
        <w:autoSpaceDN w:val="0"/>
        <w:adjustRightInd w:val="0"/>
        <w:spacing w:after="0" w:line="240" w:lineRule="auto"/>
        <w:jc w:val="both"/>
      </w:pPr>
      <w:r>
        <w:t>Entre los principales instrumentos utilizados destacan: la subsidiación de préstamos a adquirentes o adjudicatarios, ayudas directas a la entrada, la cofinanciación de viviendas protegidas, subvenciones y/o ayudas fiscales a arrendadores y arrendatarios, subvenciones a la rehabilitación y a las operaciones de urbanización, reducciones fiscales y en aranceles (notaría, registro,..) a los actos jurídicos que afecten a las viviendas beneficiarias de los planes, etc.</w:t>
      </w:r>
    </w:p>
    <w:p w:rsidR="00F14DB4" w:rsidRDefault="00F14DB4" w:rsidP="00F14DB4">
      <w:pPr>
        <w:jc w:val="both"/>
      </w:pPr>
    </w:p>
    <w:p w:rsidR="00F14DB4" w:rsidRDefault="00F14DB4" w:rsidP="00F14DB4">
      <w:pPr>
        <w:jc w:val="both"/>
      </w:pPr>
      <w:r>
        <w:t>En síntesis, los planes proveen un nutrido grupo de medidas destinadas a impulsar la oferta de viviendas asequibles tanto en alquiler como en la adquisición de vivienda protegida, a fomentar la urbanización de suelo para viviendas protegidas y a fomentar la rehabilitación. También recogen, específicamente, programas de vivienda para jóvenes, tanto para acceder al alquiler como a la compra.</w:t>
      </w:r>
    </w:p>
    <w:p w:rsidR="00F14DB4" w:rsidRDefault="00F14DB4" w:rsidP="00F14DB4">
      <w:pPr>
        <w:jc w:val="both"/>
      </w:pPr>
    </w:p>
    <w:tbl>
      <w:tblPr>
        <w:tblW w:w="9781" w:type="dxa"/>
        <w:jc w:val="center"/>
        <w:tblCellMar>
          <w:left w:w="70" w:type="dxa"/>
          <w:right w:w="70" w:type="dxa"/>
        </w:tblCellMar>
        <w:tblLook w:val="04A0" w:firstRow="1" w:lastRow="0" w:firstColumn="1" w:lastColumn="0" w:noHBand="0" w:noVBand="1"/>
      </w:tblPr>
      <w:tblGrid>
        <w:gridCol w:w="3686"/>
        <w:gridCol w:w="1117"/>
        <w:gridCol w:w="880"/>
        <w:gridCol w:w="797"/>
        <w:gridCol w:w="1407"/>
        <w:gridCol w:w="815"/>
        <w:gridCol w:w="1079"/>
      </w:tblGrid>
      <w:tr w:rsidR="00F14DB4" w:rsidRPr="00132409" w:rsidTr="00B70D79">
        <w:trPr>
          <w:trHeight w:val="285"/>
          <w:jc w:val="center"/>
        </w:trPr>
        <w:tc>
          <w:tcPr>
            <w:tcW w:w="9781" w:type="dxa"/>
            <w:gridSpan w:val="7"/>
            <w:tcBorders>
              <w:top w:val="single" w:sz="2" w:space="0" w:color="70AD47" w:themeColor="accent6"/>
              <w:left w:val="nil"/>
              <w:bottom w:val="nil"/>
              <w:right w:val="nil"/>
            </w:tcBorders>
            <w:shd w:val="clear" w:color="FFFFFF" w:fill="FFFFFF"/>
            <w:noWrap/>
            <w:vAlign w:val="bottom"/>
            <w:hideMark/>
          </w:tcPr>
          <w:p w:rsidR="00F14DB4" w:rsidRPr="00132409" w:rsidRDefault="00F14DB4" w:rsidP="006252A9">
            <w:pPr>
              <w:spacing w:after="0" w:line="240" w:lineRule="auto"/>
              <w:rPr>
                <w:rFonts w:eastAsia="Times New Roman" w:cstheme="minorHAnsi"/>
                <w:b/>
                <w:color w:val="000000"/>
                <w:lang w:eastAsia="es-ES"/>
              </w:rPr>
            </w:pPr>
            <w:r w:rsidRPr="00EF1B60">
              <w:rPr>
                <w:rFonts w:eastAsia="Times New Roman" w:cstheme="minorHAnsi"/>
                <w:b/>
                <w:color w:val="000000"/>
                <w:lang w:eastAsia="es-ES"/>
              </w:rPr>
              <w:t>Balance Planes de Vivienda 1999-2021. Total Andalucía</w:t>
            </w:r>
          </w:p>
          <w:p w:rsidR="00F14DB4" w:rsidRPr="00EF1B60" w:rsidRDefault="00F14DB4" w:rsidP="006252A9">
            <w:pPr>
              <w:spacing w:after="0" w:line="240" w:lineRule="auto"/>
              <w:rPr>
                <w:rFonts w:eastAsia="Times New Roman" w:cstheme="minorHAnsi"/>
                <w:color w:val="000000"/>
                <w:sz w:val="18"/>
                <w:szCs w:val="18"/>
                <w:lang w:eastAsia="es-ES"/>
              </w:rPr>
            </w:pPr>
            <w:r>
              <w:rPr>
                <w:rFonts w:eastAsia="Times New Roman" w:cstheme="minorHAnsi"/>
                <w:color w:val="000000"/>
                <w:sz w:val="18"/>
                <w:szCs w:val="18"/>
                <w:lang w:eastAsia="es-ES"/>
              </w:rPr>
              <w:t>(Número de actuaciones* en vivienda)</w:t>
            </w:r>
          </w:p>
        </w:tc>
      </w:tr>
      <w:tr w:rsidR="00F14DB4" w:rsidRPr="00132409" w:rsidTr="00480100">
        <w:trPr>
          <w:trHeight w:val="285"/>
          <w:jc w:val="center"/>
        </w:trPr>
        <w:tc>
          <w:tcPr>
            <w:tcW w:w="3686" w:type="dxa"/>
            <w:tcBorders>
              <w:top w:val="nil"/>
              <w:left w:val="nil"/>
              <w:bottom w:val="nil"/>
              <w:right w:val="nil"/>
            </w:tcBorders>
            <w:shd w:val="clear" w:color="auto" w:fill="auto"/>
            <w:noWrap/>
            <w:vAlign w:val="bottom"/>
            <w:hideMark/>
          </w:tcPr>
          <w:p w:rsidR="00F14DB4" w:rsidRPr="00EF1B60" w:rsidRDefault="00F14DB4" w:rsidP="006252A9">
            <w:pPr>
              <w:spacing w:after="0" w:line="240" w:lineRule="auto"/>
              <w:rPr>
                <w:rFonts w:eastAsia="Times New Roman" w:cstheme="minorHAnsi"/>
                <w:b/>
                <w:bCs/>
                <w:color w:val="000000"/>
                <w:sz w:val="18"/>
                <w:szCs w:val="18"/>
                <w:lang w:eastAsia="es-ES"/>
              </w:rPr>
            </w:pPr>
          </w:p>
        </w:tc>
        <w:tc>
          <w:tcPr>
            <w:tcW w:w="1117"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jc w:val="right"/>
              <w:rPr>
                <w:rFonts w:eastAsia="Times New Roman" w:cstheme="minorHAnsi"/>
                <w:b/>
                <w:bCs/>
                <w:color w:val="000000"/>
                <w:sz w:val="18"/>
                <w:szCs w:val="18"/>
                <w:lang w:eastAsia="es-ES"/>
              </w:rPr>
            </w:pPr>
            <w:r w:rsidRPr="00EF1B60">
              <w:rPr>
                <w:rFonts w:eastAsia="Times New Roman" w:cstheme="minorHAnsi"/>
                <w:b/>
                <w:bCs/>
                <w:color w:val="000000"/>
                <w:sz w:val="18"/>
                <w:szCs w:val="18"/>
                <w:lang w:eastAsia="es-ES"/>
              </w:rPr>
              <w:t>Poblaci</w:t>
            </w:r>
            <w:r>
              <w:rPr>
                <w:rFonts w:eastAsia="Times New Roman" w:cstheme="minorHAnsi"/>
                <w:b/>
                <w:bCs/>
                <w:color w:val="000000"/>
                <w:sz w:val="18"/>
                <w:szCs w:val="18"/>
                <w:lang w:eastAsia="es-ES"/>
              </w:rPr>
              <w:t>ó</w:t>
            </w:r>
            <w:r w:rsidRPr="00EF1B60">
              <w:rPr>
                <w:rFonts w:eastAsia="Times New Roman" w:cstheme="minorHAnsi"/>
                <w:b/>
                <w:bCs/>
                <w:color w:val="000000"/>
                <w:sz w:val="18"/>
                <w:szCs w:val="18"/>
                <w:lang w:eastAsia="es-ES"/>
              </w:rPr>
              <w:t>n</w:t>
            </w:r>
            <w:r>
              <w:rPr>
                <w:rFonts w:eastAsia="Times New Roman" w:cstheme="minorHAnsi"/>
                <w:b/>
                <w:bCs/>
                <w:color w:val="000000"/>
                <w:sz w:val="18"/>
                <w:szCs w:val="18"/>
                <w:lang w:eastAsia="es-ES"/>
              </w:rPr>
              <w:t>**</w:t>
            </w:r>
          </w:p>
        </w:tc>
        <w:tc>
          <w:tcPr>
            <w:tcW w:w="880"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jc w:val="right"/>
              <w:rPr>
                <w:rFonts w:eastAsia="Times New Roman" w:cstheme="minorHAnsi"/>
                <w:b/>
                <w:bCs/>
                <w:color w:val="000000"/>
                <w:sz w:val="18"/>
                <w:szCs w:val="18"/>
                <w:lang w:eastAsia="es-ES"/>
              </w:rPr>
            </w:pPr>
            <w:r w:rsidRPr="00EF1B60">
              <w:rPr>
                <w:rFonts w:eastAsia="Times New Roman" w:cstheme="minorHAnsi"/>
                <w:b/>
                <w:bCs/>
                <w:color w:val="000000"/>
                <w:sz w:val="18"/>
                <w:szCs w:val="18"/>
                <w:lang w:eastAsia="es-ES"/>
              </w:rPr>
              <w:t>Alquiler</w:t>
            </w:r>
          </w:p>
        </w:tc>
        <w:tc>
          <w:tcPr>
            <w:tcW w:w="797"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jc w:val="right"/>
              <w:rPr>
                <w:rFonts w:eastAsia="Times New Roman" w:cstheme="minorHAnsi"/>
                <w:b/>
                <w:bCs/>
                <w:color w:val="000000"/>
                <w:sz w:val="18"/>
                <w:szCs w:val="18"/>
                <w:lang w:eastAsia="es-ES"/>
              </w:rPr>
            </w:pPr>
            <w:r w:rsidRPr="00EF1B60">
              <w:rPr>
                <w:rFonts w:eastAsia="Times New Roman" w:cstheme="minorHAnsi"/>
                <w:b/>
                <w:bCs/>
                <w:color w:val="000000"/>
                <w:sz w:val="18"/>
                <w:szCs w:val="18"/>
                <w:lang w:eastAsia="es-ES"/>
              </w:rPr>
              <w:t>Venta</w:t>
            </w:r>
          </w:p>
        </w:tc>
        <w:tc>
          <w:tcPr>
            <w:tcW w:w="1407"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jc w:val="right"/>
              <w:rPr>
                <w:rFonts w:eastAsia="Times New Roman" w:cstheme="minorHAnsi"/>
                <w:b/>
                <w:bCs/>
                <w:color w:val="000000"/>
                <w:sz w:val="18"/>
                <w:szCs w:val="18"/>
                <w:lang w:eastAsia="es-ES"/>
              </w:rPr>
            </w:pPr>
            <w:r w:rsidRPr="00EF1B60">
              <w:rPr>
                <w:rFonts w:eastAsia="Times New Roman" w:cstheme="minorHAnsi"/>
                <w:b/>
                <w:bCs/>
                <w:color w:val="000000"/>
                <w:sz w:val="18"/>
                <w:szCs w:val="18"/>
                <w:lang w:eastAsia="es-ES"/>
              </w:rPr>
              <w:t>Rehabilitación</w:t>
            </w:r>
          </w:p>
        </w:tc>
        <w:tc>
          <w:tcPr>
            <w:tcW w:w="815"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jc w:val="right"/>
              <w:rPr>
                <w:rFonts w:eastAsia="Times New Roman" w:cstheme="minorHAnsi"/>
                <w:b/>
                <w:bCs/>
                <w:color w:val="000000"/>
                <w:sz w:val="18"/>
                <w:szCs w:val="18"/>
                <w:lang w:eastAsia="es-ES"/>
              </w:rPr>
            </w:pPr>
            <w:r w:rsidRPr="00EF1B60">
              <w:rPr>
                <w:rFonts w:eastAsia="Times New Roman" w:cstheme="minorHAnsi"/>
                <w:b/>
                <w:bCs/>
                <w:color w:val="000000"/>
                <w:sz w:val="18"/>
                <w:szCs w:val="18"/>
                <w:lang w:eastAsia="es-ES"/>
              </w:rPr>
              <w:t>Suelo</w:t>
            </w:r>
          </w:p>
        </w:tc>
        <w:tc>
          <w:tcPr>
            <w:tcW w:w="1079"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jc w:val="right"/>
              <w:rPr>
                <w:rFonts w:eastAsia="Times New Roman" w:cstheme="minorHAnsi"/>
                <w:b/>
                <w:bCs/>
                <w:color w:val="000000"/>
                <w:sz w:val="18"/>
                <w:szCs w:val="18"/>
                <w:lang w:eastAsia="es-ES"/>
              </w:rPr>
            </w:pPr>
            <w:r w:rsidRPr="00EF1B60">
              <w:rPr>
                <w:rFonts w:eastAsia="Times New Roman" w:cstheme="minorHAnsi"/>
                <w:b/>
                <w:bCs/>
                <w:color w:val="000000"/>
                <w:sz w:val="18"/>
                <w:szCs w:val="18"/>
                <w:lang w:eastAsia="es-ES"/>
              </w:rPr>
              <w:t>Total act.</w:t>
            </w:r>
            <w:r w:rsidRPr="00132409">
              <w:rPr>
                <w:rFonts w:eastAsia="Times New Roman" w:cstheme="minorHAnsi"/>
                <w:b/>
                <w:bCs/>
                <w:color w:val="000000"/>
                <w:sz w:val="18"/>
                <w:szCs w:val="18"/>
                <w:lang w:eastAsia="es-ES"/>
              </w:rPr>
              <w:t xml:space="preserve"> </w:t>
            </w:r>
            <w:r w:rsidRPr="00EF1B60">
              <w:rPr>
                <w:rFonts w:eastAsia="Times New Roman" w:cstheme="minorHAnsi"/>
                <w:b/>
                <w:bCs/>
                <w:color w:val="000000"/>
                <w:sz w:val="18"/>
                <w:szCs w:val="18"/>
                <w:lang w:eastAsia="es-ES"/>
              </w:rPr>
              <w:t>Protegidas</w:t>
            </w:r>
          </w:p>
        </w:tc>
      </w:tr>
      <w:tr w:rsidR="00F14DB4" w:rsidRPr="00132409"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III Plan Andaluz de Vivienda  y Suelo</w:t>
            </w:r>
            <w:r>
              <w:rPr>
                <w:rFonts w:eastAsia="Times New Roman" w:cstheme="minorHAnsi"/>
                <w:color w:val="000000"/>
                <w:sz w:val="18"/>
                <w:szCs w:val="18"/>
                <w:lang w:eastAsia="es-ES"/>
              </w:rPr>
              <w:t xml:space="preserve"> </w:t>
            </w:r>
            <w:r w:rsidRPr="00EF1B60">
              <w:rPr>
                <w:rFonts w:eastAsia="Times New Roman" w:cstheme="minorHAnsi"/>
                <w:color w:val="000000"/>
                <w:sz w:val="18"/>
                <w:szCs w:val="18"/>
                <w:lang w:eastAsia="es-ES"/>
              </w:rPr>
              <w:t>1999-2002</w:t>
            </w:r>
          </w:p>
        </w:tc>
        <w:tc>
          <w:tcPr>
            <w:tcW w:w="111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7.305.117</w:t>
            </w:r>
          </w:p>
        </w:tc>
        <w:tc>
          <w:tcPr>
            <w:tcW w:w="880"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6.891</w:t>
            </w:r>
          </w:p>
        </w:tc>
        <w:tc>
          <w:tcPr>
            <w:tcW w:w="79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56.732</w:t>
            </w:r>
          </w:p>
        </w:tc>
        <w:tc>
          <w:tcPr>
            <w:tcW w:w="140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106.621</w:t>
            </w:r>
          </w:p>
        </w:tc>
        <w:tc>
          <w:tcPr>
            <w:tcW w:w="815"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12.329</w:t>
            </w:r>
          </w:p>
        </w:tc>
        <w:tc>
          <w:tcPr>
            <w:tcW w:w="1079"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182.573</w:t>
            </w:r>
          </w:p>
        </w:tc>
      </w:tr>
      <w:tr w:rsidR="00F14DB4" w:rsidRPr="00132409"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IV Plan Andaluz de Vivienda  y Suelo 2003-2007</w:t>
            </w:r>
          </w:p>
        </w:tc>
        <w:tc>
          <w:tcPr>
            <w:tcW w:w="111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7.606.848</w:t>
            </w:r>
          </w:p>
        </w:tc>
        <w:tc>
          <w:tcPr>
            <w:tcW w:w="880"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20.134</w:t>
            </w:r>
          </w:p>
        </w:tc>
        <w:tc>
          <w:tcPr>
            <w:tcW w:w="79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60.435</w:t>
            </w:r>
          </w:p>
        </w:tc>
        <w:tc>
          <w:tcPr>
            <w:tcW w:w="140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180.479</w:t>
            </w:r>
          </w:p>
        </w:tc>
        <w:tc>
          <w:tcPr>
            <w:tcW w:w="815"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16.898</w:t>
            </w:r>
          </w:p>
        </w:tc>
        <w:tc>
          <w:tcPr>
            <w:tcW w:w="1079"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277.946</w:t>
            </w:r>
          </w:p>
        </w:tc>
      </w:tr>
      <w:tr w:rsidR="00F14DB4" w:rsidRPr="00132409"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Plan Concertado de Vivienda y Suelo 2008-2012.</w:t>
            </w:r>
          </w:p>
        </w:tc>
        <w:tc>
          <w:tcPr>
            <w:tcW w:w="111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8.449.985</w:t>
            </w:r>
          </w:p>
        </w:tc>
        <w:tc>
          <w:tcPr>
            <w:tcW w:w="880"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62.721</w:t>
            </w:r>
          </w:p>
        </w:tc>
        <w:tc>
          <w:tcPr>
            <w:tcW w:w="79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43.173</w:t>
            </w:r>
          </w:p>
        </w:tc>
        <w:tc>
          <w:tcPr>
            <w:tcW w:w="140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144.036</w:t>
            </w:r>
          </w:p>
        </w:tc>
        <w:tc>
          <w:tcPr>
            <w:tcW w:w="815"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15.936</w:t>
            </w:r>
          </w:p>
        </w:tc>
        <w:tc>
          <w:tcPr>
            <w:tcW w:w="1079"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265.866</w:t>
            </w:r>
          </w:p>
        </w:tc>
      </w:tr>
      <w:tr w:rsidR="00F14DB4" w:rsidRPr="00132409"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Pr>
                <w:rFonts w:eastAsia="Times New Roman" w:cstheme="minorHAnsi"/>
                <w:color w:val="000000"/>
                <w:sz w:val="18"/>
                <w:szCs w:val="18"/>
                <w:lang w:eastAsia="es-ES"/>
              </w:rPr>
              <w:t>Actuaciones</w:t>
            </w:r>
            <w:r w:rsidRPr="00EF1B60">
              <w:rPr>
                <w:rFonts w:eastAsia="Times New Roman" w:cstheme="minorHAnsi"/>
                <w:color w:val="000000"/>
                <w:sz w:val="18"/>
                <w:szCs w:val="18"/>
                <w:lang w:eastAsia="es-ES"/>
              </w:rPr>
              <w:t xml:space="preserve"> 2013-2015</w:t>
            </w:r>
          </w:p>
        </w:tc>
        <w:tc>
          <w:tcPr>
            <w:tcW w:w="111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8.440.300</w:t>
            </w:r>
          </w:p>
        </w:tc>
        <w:tc>
          <w:tcPr>
            <w:tcW w:w="880"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2.889</w:t>
            </w:r>
          </w:p>
        </w:tc>
        <w:tc>
          <w:tcPr>
            <w:tcW w:w="79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992</w:t>
            </w:r>
          </w:p>
        </w:tc>
        <w:tc>
          <w:tcPr>
            <w:tcW w:w="140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42.880</w:t>
            </w:r>
          </w:p>
        </w:tc>
        <w:tc>
          <w:tcPr>
            <w:tcW w:w="815"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0</w:t>
            </w:r>
          </w:p>
        </w:tc>
        <w:tc>
          <w:tcPr>
            <w:tcW w:w="1079"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46.761</w:t>
            </w:r>
          </w:p>
        </w:tc>
      </w:tr>
      <w:tr w:rsidR="00F14DB4" w:rsidRPr="00132409"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Plan Vivienda 2016-2019</w:t>
            </w:r>
          </w:p>
        </w:tc>
        <w:tc>
          <w:tcPr>
            <w:tcW w:w="111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8.388.107</w:t>
            </w:r>
          </w:p>
        </w:tc>
        <w:tc>
          <w:tcPr>
            <w:tcW w:w="880"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84.368</w:t>
            </w:r>
          </w:p>
        </w:tc>
        <w:tc>
          <w:tcPr>
            <w:tcW w:w="79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13.329</w:t>
            </w:r>
          </w:p>
        </w:tc>
        <w:tc>
          <w:tcPr>
            <w:tcW w:w="140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36.943</w:t>
            </w:r>
          </w:p>
        </w:tc>
        <w:tc>
          <w:tcPr>
            <w:tcW w:w="815"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0</w:t>
            </w:r>
          </w:p>
        </w:tc>
        <w:tc>
          <w:tcPr>
            <w:tcW w:w="1079"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124.264</w:t>
            </w:r>
          </w:p>
        </w:tc>
      </w:tr>
      <w:tr w:rsidR="00F14DB4" w:rsidRPr="00132409"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Plan Vivienda 2020-2030*</w:t>
            </w:r>
            <w:r>
              <w:rPr>
                <w:rFonts w:eastAsia="Times New Roman" w:cstheme="minorHAnsi"/>
                <w:color w:val="000000"/>
                <w:sz w:val="18"/>
                <w:szCs w:val="18"/>
                <w:lang w:eastAsia="es-ES"/>
              </w:rPr>
              <w:t>*</w:t>
            </w:r>
            <w:r w:rsidRPr="00EF1B60">
              <w:rPr>
                <w:rFonts w:eastAsia="Times New Roman" w:cstheme="minorHAnsi"/>
                <w:color w:val="000000"/>
                <w:sz w:val="18"/>
                <w:szCs w:val="18"/>
                <w:lang w:eastAsia="es-ES"/>
              </w:rPr>
              <w:t>*</w:t>
            </w:r>
          </w:p>
        </w:tc>
        <w:tc>
          <w:tcPr>
            <w:tcW w:w="111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8.464.411</w:t>
            </w:r>
          </w:p>
        </w:tc>
        <w:tc>
          <w:tcPr>
            <w:tcW w:w="880"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77.881</w:t>
            </w:r>
          </w:p>
        </w:tc>
        <w:tc>
          <w:tcPr>
            <w:tcW w:w="79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1.726</w:t>
            </w:r>
          </w:p>
        </w:tc>
        <w:tc>
          <w:tcPr>
            <w:tcW w:w="1407"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12.698</w:t>
            </w:r>
          </w:p>
        </w:tc>
        <w:tc>
          <w:tcPr>
            <w:tcW w:w="815"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169</w:t>
            </w:r>
          </w:p>
        </w:tc>
        <w:tc>
          <w:tcPr>
            <w:tcW w:w="1079" w:type="dxa"/>
            <w:tcBorders>
              <w:top w:val="nil"/>
              <w:left w:val="nil"/>
              <w:bottom w:val="nil"/>
              <w:right w:val="nil"/>
            </w:tcBorders>
            <w:shd w:val="clear" w:color="FFFFFF" w:fill="FFFFFF"/>
            <w:noWrap/>
            <w:vAlign w:val="bottom"/>
            <w:hideMark/>
          </w:tcPr>
          <w:p w:rsidR="00F14DB4" w:rsidRPr="00EF1B60" w:rsidRDefault="00F14DB4" w:rsidP="006252A9">
            <w:pPr>
              <w:spacing w:after="0" w:line="240" w:lineRule="auto"/>
              <w:jc w:val="right"/>
              <w:rPr>
                <w:rFonts w:eastAsia="Times New Roman" w:cstheme="minorHAnsi"/>
                <w:color w:val="000000"/>
                <w:sz w:val="18"/>
                <w:szCs w:val="18"/>
                <w:lang w:eastAsia="es-ES"/>
              </w:rPr>
            </w:pPr>
            <w:r w:rsidRPr="00EF1B60">
              <w:rPr>
                <w:rFonts w:eastAsia="Times New Roman" w:cstheme="minorHAnsi"/>
                <w:color w:val="000000"/>
                <w:sz w:val="18"/>
                <w:szCs w:val="18"/>
                <w:lang w:eastAsia="es-ES"/>
              </w:rPr>
              <w:t>92.305</w:t>
            </w:r>
          </w:p>
        </w:tc>
      </w:tr>
      <w:tr w:rsidR="00F14DB4" w:rsidRPr="00132409" w:rsidTr="007F0F03">
        <w:trPr>
          <w:trHeight w:val="285"/>
          <w:jc w:val="center"/>
        </w:trPr>
        <w:tc>
          <w:tcPr>
            <w:tcW w:w="3686" w:type="dxa"/>
            <w:tcBorders>
              <w:top w:val="nil"/>
              <w:left w:val="nil"/>
              <w:right w:val="nil"/>
            </w:tcBorders>
            <w:shd w:val="clear" w:color="auto" w:fill="E2EFD9" w:themeFill="accent6" w:themeFillTint="33"/>
            <w:noWrap/>
            <w:vAlign w:val="bottom"/>
          </w:tcPr>
          <w:p w:rsidR="00F14DB4" w:rsidRPr="000C299C" w:rsidRDefault="00F14DB4" w:rsidP="006252A9">
            <w:pPr>
              <w:spacing w:after="0" w:line="240" w:lineRule="auto"/>
              <w:rPr>
                <w:rFonts w:eastAsia="Times New Roman" w:cstheme="minorHAnsi"/>
                <w:b/>
                <w:color w:val="000000"/>
                <w:sz w:val="18"/>
                <w:szCs w:val="18"/>
                <w:lang w:eastAsia="es-ES"/>
              </w:rPr>
            </w:pPr>
            <w:r w:rsidRPr="000C299C">
              <w:rPr>
                <w:rFonts w:eastAsia="Times New Roman" w:cstheme="minorHAnsi"/>
                <w:b/>
                <w:color w:val="000000"/>
                <w:sz w:val="18"/>
                <w:szCs w:val="18"/>
                <w:lang w:eastAsia="es-ES"/>
              </w:rPr>
              <w:t>Total actuaciones en vivienda</w:t>
            </w:r>
          </w:p>
        </w:tc>
        <w:tc>
          <w:tcPr>
            <w:tcW w:w="1117" w:type="dxa"/>
            <w:tcBorders>
              <w:top w:val="nil"/>
              <w:left w:val="nil"/>
              <w:right w:val="nil"/>
            </w:tcBorders>
            <w:shd w:val="clear" w:color="FFFFFF" w:fill="FFFFFF"/>
            <w:noWrap/>
            <w:vAlign w:val="bottom"/>
          </w:tcPr>
          <w:p w:rsidR="00F14DB4" w:rsidRPr="00EF1B60" w:rsidRDefault="00F14DB4" w:rsidP="006252A9">
            <w:pPr>
              <w:spacing w:after="0" w:line="240" w:lineRule="auto"/>
              <w:jc w:val="right"/>
              <w:rPr>
                <w:rFonts w:eastAsia="Times New Roman" w:cstheme="minorHAnsi"/>
                <w:color w:val="000000"/>
                <w:sz w:val="18"/>
                <w:szCs w:val="18"/>
                <w:lang w:eastAsia="es-ES"/>
              </w:rPr>
            </w:pPr>
          </w:p>
        </w:tc>
        <w:tc>
          <w:tcPr>
            <w:tcW w:w="880" w:type="dxa"/>
            <w:tcBorders>
              <w:top w:val="nil"/>
              <w:left w:val="nil"/>
              <w:right w:val="nil"/>
            </w:tcBorders>
            <w:shd w:val="clear" w:color="FFFFFF" w:fill="FFFFFF"/>
            <w:noWrap/>
            <w:vAlign w:val="bottom"/>
          </w:tcPr>
          <w:p w:rsidR="00F14DB4" w:rsidRPr="000C299C" w:rsidRDefault="00F14DB4" w:rsidP="006252A9">
            <w:pPr>
              <w:spacing w:after="0" w:line="240" w:lineRule="auto"/>
              <w:jc w:val="right"/>
              <w:rPr>
                <w:rFonts w:eastAsia="Times New Roman" w:cstheme="minorHAnsi"/>
                <w:b/>
                <w:color w:val="000000"/>
                <w:sz w:val="18"/>
                <w:szCs w:val="18"/>
                <w:lang w:eastAsia="es-ES"/>
              </w:rPr>
            </w:pPr>
            <w:r w:rsidRPr="000C299C">
              <w:rPr>
                <w:rFonts w:eastAsia="Times New Roman" w:cstheme="minorHAnsi"/>
                <w:b/>
                <w:color w:val="000000"/>
                <w:sz w:val="18"/>
                <w:szCs w:val="18"/>
                <w:lang w:eastAsia="es-ES"/>
              </w:rPr>
              <w:t>254.884</w:t>
            </w:r>
          </w:p>
        </w:tc>
        <w:tc>
          <w:tcPr>
            <w:tcW w:w="797" w:type="dxa"/>
            <w:tcBorders>
              <w:top w:val="nil"/>
              <w:left w:val="nil"/>
              <w:right w:val="nil"/>
            </w:tcBorders>
            <w:shd w:val="clear" w:color="FFFFFF" w:fill="FFFFFF"/>
            <w:noWrap/>
            <w:vAlign w:val="bottom"/>
          </w:tcPr>
          <w:p w:rsidR="00F14DB4" w:rsidRPr="000C299C" w:rsidRDefault="00F14DB4" w:rsidP="006252A9">
            <w:pPr>
              <w:spacing w:after="0" w:line="240" w:lineRule="auto"/>
              <w:jc w:val="right"/>
              <w:rPr>
                <w:rFonts w:eastAsia="Times New Roman" w:cstheme="minorHAnsi"/>
                <w:b/>
                <w:color w:val="000000"/>
                <w:sz w:val="18"/>
                <w:szCs w:val="18"/>
                <w:lang w:eastAsia="es-ES"/>
              </w:rPr>
            </w:pPr>
            <w:r w:rsidRPr="000C299C">
              <w:rPr>
                <w:rFonts w:eastAsia="Times New Roman" w:cstheme="minorHAnsi"/>
                <w:b/>
                <w:color w:val="000000"/>
                <w:sz w:val="18"/>
                <w:szCs w:val="18"/>
                <w:lang w:eastAsia="es-ES"/>
              </w:rPr>
              <w:t>176.387</w:t>
            </w:r>
          </w:p>
        </w:tc>
        <w:tc>
          <w:tcPr>
            <w:tcW w:w="1407" w:type="dxa"/>
            <w:tcBorders>
              <w:top w:val="nil"/>
              <w:left w:val="nil"/>
              <w:right w:val="nil"/>
            </w:tcBorders>
            <w:shd w:val="clear" w:color="FFFFFF" w:fill="FFFFFF"/>
            <w:noWrap/>
            <w:vAlign w:val="bottom"/>
          </w:tcPr>
          <w:p w:rsidR="00F14DB4" w:rsidRPr="000C299C" w:rsidRDefault="00F14DB4" w:rsidP="006252A9">
            <w:pPr>
              <w:spacing w:after="0" w:line="240" w:lineRule="auto"/>
              <w:jc w:val="right"/>
              <w:rPr>
                <w:rFonts w:eastAsia="Times New Roman" w:cstheme="minorHAnsi"/>
                <w:b/>
                <w:color w:val="000000"/>
                <w:sz w:val="18"/>
                <w:szCs w:val="18"/>
                <w:lang w:eastAsia="es-ES"/>
              </w:rPr>
            </w:pPr>
            <w:r w:rsidRPr="000C299C">
              <w:rPr>
                <w:rFonts w:eastAsia="Times New Roman" w:cstheme="minorHAnsi"/>
                <w:b/>
                <w:color w:val="000000"/>
                <w:sz w:val="18"/>
                <w:szCs w:val="18"/>
                <w:lang w:eastAsia="es-ES"/>
              </w:rPr>
              <w:t>523.657</w:t>
            </w:r>
          </w:p>
        </w:tc>
        <w:tc>
          <w:tcPr>
            <w:tcW w:w="815" w:type="dxa"/>
            <w:tcBorders>
              <w:top w:val="nil"/>
              <w:left w:val="nil"/>
              <w:right w:val="nil"/>
            </w:tcBorders>
            <w:shd w:val="clear" w:color="FFFFFF" w:fill="FFFFFF"/>
            <w:noWrap/>
            <w:vAlign w:val="bottom"/>
          </w:tcPr>
          <w:p w:rsidR="00F14DB4" w:rsidRPr="000C299C" w:rsidRDefault="00F14DB4" w:rsidP="006252A9">
            <w:pPr>
              <w:spacing w:after="0" w:line="240" w:lineRule="auto"/>
              <w:jc w:val="right"/>
              <w:rPr>
                <w:rFonts w:eastAsia="Times New Roman" w:cstheme="minorHAnsi"/>
                <w:b/>
                <w:color w:val="000000"/>
                <w:sz w:val="18"/>
                <w:szCs w:val="18"/>
                <w:lang w:eastAsia="es-ES"/>
              </w:rPr>
            </w:pPr>
            <w:r w:rsidRPr="000C299C">
              <w:rPr>
                <w:rFonts w:eastAsia="Times New Roman" w:cstheme="minorHAnsi"/>
                <w:b/>
                <w:color w:val="000000"/>
                <w:sz w:val="18"/>
                <w:szCs w:val="18"/>
                <w:lang w:eastAsia="es-ES"/>
              </w:rPr>
              <w:t>45.332</w:t>
            </w:r>
          </w:p>
        </w:tc>
        <w:tc>
          <w:tcPr>
            <w:tcW w:w="1079" w:type="dxa"/>
            <w:tcBorders>
              <w:top w:val="nil"/>
              <w:left w:val="nil"/>
              <w:right w:val="nil"/>
            </w:tcBorders>
            <w:shd w:val="clear" w:color="FFFFFF" w:fill="FFFFFF"/>
            <w:noWrap/>
            <w:vAlign w:val="bottom"/>
          </w:tcPr>
          <w:p w:rsidR="00F14DB4" w:rsidRPr="000C299C" w:rsidRDefault="00F14DB4" w:rsidP="006252A9">
            <w:pPr>
              <w:spacing w:after="0" w:line="240" w:lineRule="auto"/>
              <w:jc w:val="right"/>
              <w:rPr>
                <w:rFonts w:eastAsia="Times New Roman" w:cstheme="minorHAnsi"/>
                <w:b/>
                <w:color w:val="000000"/>
                <w:sz w:val="18"/>
                <w:szCs w:val="18"/>
                <w:lang w:eastAsia="es-ES"/>
              </w:rPr>
            </w:pPr>
            <w:r w:rsidRPr="000C299C">
              <w:rPr>
                <w:rFonts w:eastAsia="Times New Roman" w:cstheme="minorHAnsi"/>
                <w:b/>
                <w:color w:val="000000"/>
                <w:sz w:val="18"/>
                <w:szCs w:val="18"/>
                <w:lang w:eastAsia="es-ES"/>
              </w:rPr>
              <w:t>989.715</w:t>
            </w:r>
          </w:p>
        </w:tc>
      </w:tr>
      <w:tr w:rsidR="00F14DB4" w:rsidRPr="00132409" w:rsidTr="001D429A">
        <w:trPr>
          <w:trHeight w:val="855"/>
          <w:jc w:val="center"/>
        </w:trPr>
        <w:tc>
          <w:tcPr>
            <w:tcW w:w="9781" w:type="dxa"/>
            <w:gridSpan w:val="7"/>
            <w:tcBorders>
              <w:top w:val="nil"/>
              <w:left w:val="nil"/>
              <w:bottom w:val="single" w:sz="2" w:space="0" w:color="70AD47" w:themeColor="accent6"/>
              <w:right w:val="nil"/>
            </w:tcBorders>
            <w:shd w:val="clear" w:color="auto" w:fill="auto"/>
            <w:noWrap/>
            <w:vAlign w:val="bottom"/>
            <w:hideMark/>
          </w:tcPr>
          <w:p w:rsidR="00F14DB4"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w:t>
            </w:r>
            <w:r>
              <w:rPr>
                <w:rFonts w:eastAsia="Times New Roman" w:cstheme="minorHAnsi"/>
                <w:color w:val="000000"/>
                <w:sz w:val="18"/>
                <w:szCs w:val="18"/>
                <w:lang w:eastAsia="es-ES"/>
              </w:rPr>
              <w:t>Incluye actuaciones en venta, alquiler, rehabilitación y suelo.</w:t>
            </w:r>
          </w:p>
          <w:p w:rsidR="00F14DB4" w:rsidRPr="00EF1B60" w:rsidRDefault="00F14DB4" w:rsidP="006252A9">
            <w:pPr>
              <w:spacing w:after="0" w:line="240" w:lineRule="auto"/>
              <w:rPr>
                <w:rFonts w:eastAsia="Times New Roman" w:cstheme="minorHAnsi"/>
                <w:color w:val="000000"/>
                <w:sz w:val="18"/>
                <w:szCs w:val="18"/>
                <w:lang w:eastAsia="es-ES"/>
              </w:rPr>
            </w:pPr>
            <w:r>
              <w:rPr>
                <w:rFonts w:eastAsia="Times New Roman" w:cstheme="minorHAnsi"/>
                <w:color w:val="000000"/>
                <w:sz w:val="18"/>
                <w:szCs w:val="18"/>
                <w:lang w:eastAsia="es-ES"/>
              </w:rPr>
              <w:t>**</w:t>
            </w:r>
            <w:r w:rsidRPr="00EF1B60">
              <w:rPr>
                <w:rFonts w:eastAsia="Times New Roman" w:cstheme="minorHAnsi"/>
                <w:color w:val="000000"/>
                <w:sz w:val="18"/>
                <w:szCs w:val="18"/>
                <w:lang w:eastAsia="es-ES"/>
              </w:rPr>
              <w:t>Población en primer año del Plan</w:t>
            </w:r>
          </w:p>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 Ejercicios 2020 y 2021.</w:t>
            </w:r>
          </w:p>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 xml:space="preserve">Fuente: </w:t>
            </w:r>
            <w:r w:rsidRPr="009D646E">
              <w:rPr>
                <w:rFonts w:eastAsia="Times New Roman" w:cstheme="minorHAnsi"/>
                <w:i/>
                <w:color w:val="000000"/>
                <w:sz w:val="18"/>
                <w:szCs w:val="18"/>
                <w:lang w:eastAsia="es-ES"/>
              </w:rPr>
              <w:t>Analistas Económicos de Andalucía</w:t>
            </w:r>
            <w:r>
              <w:rPr>
                <w:rFonts w:eastAsia="Times New Roman" w:cstheme="minorHAnsi"/>
                <w:color w:val="000000"/>
                <w:sz w:val="18"/>
                <w:szCs w:val="18"/>
                <w:lang w:eastAsia="es-ES"/>
              </w:rPr>
              <w:t xml:space="preserve"> a partir de la </w:t>
            </w:r>
            <w:r w:rsidRPr="00EF1B60">
              <w:rPr>
                <w:rFonts w:eastAsia="Times New Roman" w:cstheme="minorHAnsi"/>
                <w:color w:val="000000"/>
                <w:sz w:val="18"/>
                <w:szCs w:val="18"/>
                <w:lang w:eastAsia="es-ES"/>
              </w:rPr>
              <w:t xml:space="preserve">Consejería de </w:t>
            </w:r>
            <w:r>
              <w:rPr>
                <w:rFonts w:eastAsia="Times New Roman" w:cstheme="minorHAnsi"/>
                <w:color w:val="000000"/>
                <w:sz w:val="18"/>
                <w:szCs w:val="18"/>
                <w:lang w:eastAsia="es-ES"/>
              </w:rPr>
              <w:t>Fomento, Articulación del Territorio</w:t>
            </w:r>
            <w:r w:rsidRPr="00EF1B60">
              <w:rPr>
                <w:rFonts w:eastAsia="Times New Roman" w:cstheme="minorHAnsi"/>
                <w:color w:val="000000"/>
                <w:sz w:val="18"/>
                <w:szCs w:val="18"/>
                <w:lang w:eastAsia="es-ES"/>
              </w:rPr>
              <w:t xml:space="preserve"> y Vivienda</w:t>
            </w:r>
            <w:r>
              <w:rPr>
                <w:rFonts w:eastAsia="Times New Roman" w:cstheme="minorHAnsi"/>
                <w:color w:val="000000"/>
                <w:sz w:val="18"/>
                <w:szCs w:val="18"/>
                <w:lang w:eastAsia="es-ES"/>
              </w:rPr>
              <w:t xml:space="preserve"> e INE</w:t>
            </w:r>
            <w:r w:rsidRPr="00EF1B60">
              <w:rPr>
                <w:rFonts w:eastAsia="Times New Roman" w:cstheme="minorHAnsi"/>
                <w:color w:val="000000"/>
                <w:sz w:val="18"/>
                <w:szCs w:val="18"/>
                <w:lang w:eastAsia="es-ES"/>
              </w:rPr>
              <w:t>.</w:t>
            </w:r>
          </w:p>
        </w:tc>
      </w:tr>
    </w:tbl>
    <w:p w:rsidR="00F14DB4" w:rsidRDefault="00F14DB4" w:rsidP="00F14DB4"/>
    <w:p w:rsidR="00F14DB4" w:rsidRDefault="00F14DB4" w:rsidP="00F14DB4">
      <w:pPr>
        <w:jc w:val="both"/>
      </w:pPr>
      <w:r>
        <w:t>Las actuaciones contabilizadas en los Planes de Vivienda en Andalucía entre 1999 y 2021, según la Consejería de Fomento, Articulación del Territorio y Vivienda de la Junta de Andalucía, ascendieron a 989.715, de las que más de la mitad se destinaron a la rehabilitación (52,9%), en torno a un cuarto al alquiler (25,8%), algo menos de una quinta parte a la compraventa (17,8%) y menos del 5% al suelo.</w:t>
      </w:r>
    </w:p>
    <w:p w:rsidR="00F14DB4" w:rsidRDefault="00F14DB4" w:rsidP="00F14DB4">
      <w:pPr>
        <w:jc w:val="both"/>
      </w:pPr>
      <w:r>
        <w:t>A lo largo del período analizado, se observa una traslación relevante de las actuaciones destinadas a la venta, mayoritarias entre 1999 y 2007, hacia el alquiler, las más relevante desde 2008. En el caso de las actuaciones de rehabilitación se constata la pérdida de peso en el conjunto de las contabilizadas en los planes en vigor desde 2016.</w:t>
      </w:r>
    </w:p>
    <w:p w:rsidR="00F14DB4" w:rsidRDefault="00F14DB4" w:rsidP="00F14DB4"/>
    <w:tbl>
      <w:tblPr>
        <w:tblW w:w="10129" w:type="dxa"/>
        <w:jc w:val="center"/>
        <w:tblCellMar>
          <w:left w:w="70" w:type="dxa"/>
          <w:right w:w="70" w:type="dxa"/>
        </w:tblCellMar>
        <w:tblLook w:val="04A0" w:firstRow="1" w:lastRow="0" w:firstColumn="1" w:lastColumn="0" w:noHBand="0" w:noVBand="1"/>
      </w:tblPr>
      <w:tblGrid>
        <w:gridCol w:w="3686"/>
        <w:gridCol w:w="799"/>
        <w:gridCol w:w="823"/>
        <w:gridCol w:w="854"/>
        <w:gridCol w:w="854"/>
        <w:gridCol w:w="735"/>
        <w:gridCol w:w="732"/>
        <w:gridCol w:w="823"/>
        <w:gridCol w:w="823"/>
      </w:tblGrid>
      <w:tr w:rsidR="00F14DB4" w:rsidRPr="00404F40" w:rsidTr="001D429A">
        <w:trPr>
          <w:trHeight w:val="285"/>
          <w:jc w:val="center"/>
        </w:trPr>
        <w:tc>
          <w:tcPr>
            <w:tcW w:w="10129" w:type="dxa"/>
            <w:gridSpan w:val="9"/>
            <w:tcBorders>
              <w:top w:val="single" w:sz="2" w:space="0" w:color="70AD47" w:themeColor="accent6"/>
              <w:left w:val="nil"/>
              <w:bottom w:val="nil"/>
              <w:right w:val="nil"/>
            </w:tcBorders>
            <w:shd w:val="clear" w:color="FFFFFF" w:fill="FFFFFF"/>
            <w:noWrap/>
            <w:vAlign w:val="bottom"/>
            <w:hideMark/>
          </w:tcPr>
          <w:p w:rsidR="00F14DB4" w:rsidRPr="00404F40" w:rsidRDefault="00F14DB4" w:rsidP="006252A9">
            <w:pPr>
              <w:spacing w:after="0" w:line="240" w:lineRule="auto"/>
              <w:rPr>
                <w:rFonts w:eastAsia="Times New Roman" w:cstheme="minorHAnsi"/>
                <w:color w:val="000000"/>
                <w:sz w:val="18"/>
                <w:szCs w:val="18"/>
                <w:lang w:eastAsia="es-ES"/>
              </w:rPr>
            </w:pPr>
            <w:r w:rsidRPr="00404F40">
              <w:rPr>
                <w:rFonts w:eastAsia="Times New Roman" w:cstheme="minorHAnsi"/>
                <w:b/>
                <w:color w:val="000000"/>
                <w:lang w:eastAsia="es-ES"/>
              </w:rPr>
              <w:t xml:space="preserve">Balance Planes de Vivienda 1999-2021. </w:t>
            </w:r>
            <w:r w:rsidRPr="009D646E">
              <w:rPr>
                <w:rFonts w:eastAsia="Times New Roman" w:cstheme="minorHAnsi"/>
                <w:b/>
                <w:color w:val="000000"/>
                <w:lang w:eastAsia="es-ES"/>
              </w:rPr>
              <w:t>Total por</w:t>
            </w:r>
            <w:r w:rsidRPr="00404F40">
              <w:rPr>
                <w:rFonts w:eastAsia="Times New Roman" w:cstheme="minorHAnsi"/>
                <w:b/>
                <w:color w:val="000000"/>
                <w:lang w:eastAsia="es-ES"/>
              </w:rPr>
              <w:t xml:space="preserve"> provincias</w:t>
            </w:r>
          </w:p>
          <w:p w:rsidR="00F14DB4" w:rsidRPr="00404F40" w:rsidRDefault="00F14DB4" w:rsidP="006252A9">
            <w:pPr>
              <w:spacing w:after="0" w:line="240" w:lineRule="auto"/>
              <w:rPr>
                <w:rFonts w:eastAsia="Times New Roman" w:cstheme="minorHAnsi"/>
                <w:i/>
                <w:color w:val="000000"/>
                <w:sz w:val="18"/>
                <w:szCs w:val="18"/>
                <w:lang w:eastAsia="es-ES"/>
              </w:rPr>
            </w:pPr>
            <w:r w:rsidRPr="009D646E">
              <w:rPr>
                <w:rFonts w:eastAsia="Times New Roman" w:cstheme="minorHAnsi"/>
                <w:i/>
                <w:color w:val="000000"/>
                <w:sz w:val="18"/>
                <w:szCs w:val="18"/>
                <w:lang w:eastAsia="es-ES"/>
              </w:rPr>
              <w:t>(Número de actuaciones en vivienda)</w:t>
            </w:r>
          </w:p>
        </w:tc>
      </w:tr>
      <w:tr w:rsidR="00F14DB4" w:rsidRPr="00404F40" w:rsidTr="00480100">
        <w:trPr>
          <w:trHeight w:val="285"/>
          <w:jc w:val="center"/>
        </w:trPr>
        <w:tc>
          <w:tcPr>
            <w:tcW w:w="3686" w:type="dxa"/>
            <w:tcBorders>
              <w:top w:val="nil"/>
              <w:left w:val="nil"/>
              <w:bottom w:val="nil"/>
              <w:right w:val="nil"/>
            </w:tcBorders>
            <w:shd w:val="clear" w:color="auto" w:fill="auto"/>
            <w:noWrap/>
            <w:vAlign w:val="bottom"/>
            <w:hideMark/>
          </w:tcPr>
          <w:p w:rsidR="00F14DB4" w:rsidRPr="00404F40" w:rsidRDefault="00F14DB4" w:rsidP="006252A9">
            <w:pPr>
              <w:spacing w:after="0" w:line="240" w:lineRule="auto"/>
              <w:rPr>
                <w:rFonts w:eastAsia="Times New Roman" w:cstheme="minorHAnsi"/>
                <w:b/>
                <w:bCs/>
                <w:color w:val="000000"/>
                <w:sz w:val="18"/>
                <w:szCs w:val="18"/>
                <w:lang w:eastAsia="es-ES"/>
              </w:rPr>
            </w:pPr>
          </w:p>
        </w:tc>
        <w:tc>
          <w:tcPr>
            <w:tcW w:w="799" w:type="dxa"/>
            <w:tcBorders>
              <w:top w:val="nil"/>
              <w:left w:val="nil"/>
              <w:bottom w:val="nil"/>
              <w:right w:val="nil"/>
            </w:tcBorders>
            <w:shd w:val="clear" w:color="auto" w:fill="E2EFD9" w:themeFill="accent6" w:themeFillTint="33"/>
            <w:noWrap/>
            <w:vAlign w:val="bottom"/>
            <w:hideMark/>
          </w:tcPr>
          <w:p w:rsidR="00F14DB4" w:rsidRPr="00404F40" w:rsidRDefault="00F14DB4" w:rsidP="00480100">
            <w:pPr>
              <w:spacing w:after="0" w:line="240" w:lineRule="auto"/>
              <w:jc w:val="right"/>
              <w:rPr>
                <w:rFonts w:eastAsia="Times New Roman" w:cstheme="minorHAnsi"/>
                <w:b/>
                <w:color w:val="000000"/>
                <w:sz w:val="18"/>
                <w:szCs w:val="18"/>
                <w:lang w:eastAsia="es-ES"/>
              </w:rPr>
            </w:pPr>
            <w:r w:rsidRPr="00404F40">
              <w:rPr>
                <w:rFonts w:eastAsia="Times New Roman" w:cstheme="minorHAnsi"/>
                <w:b/>
                <w:color w:val="000000"/>
                <w:sz w:val="18"/>
                <w:szCs w:val="18"/>
                <w:lang w:eastAsia="es-ES"/>
              </w:rPr>
              <w:t>Almería</w:t>
            </w:r>
          </w:p>
        </w:tc>
        <w:tc>
          <w:tcPr>
            <w:tcW w:w="823" w:type="dxa"/>
            <w:tcBorders>
              <w:top w:val="nil"/>
              <w:left w:val="nil"/>
              <w:bottom w:val="nil"/>
              <w:right w:val="nil"/>
            </w:tcBorders>
            <w:shd w:val="clear" w:color="auto" w:fill="E2EFD9" w:themeFill="accent6" w:themeFillTint="33"/>
            <w:noWrap/>
            <w:vAlign w:val="bottom"/>
            <w:hideMark/>
          </w:tcPr>
          <w:p w:rsidR="00F14DB4" w:rsidRPr="00404F40" w:rsidRDefault="00F14DB4" w:rsidP="00480100">
            <w:pPr>
              <w:spacing w:after="0" w:line="240" w:lineRule="auto"/>
              <w:jc w:val="right"/>
              <w:rPr>
                <w:rFonts w:eastAsia="Times New Roman" w:cstheme="minorHAnsi"/>
                <w:b/>
                <w:color w:val="000000"/>
                <w:sz w:val="18"/>
                <w:szCs w:val="18"/>
                <w:lang w:eastAsia="es-ES"/>
              </w:rPr>
            </w:pPr>
            <w:r w:rsidRPr="00404F40">
              <w:rPr>
                <w:rFonts w:eastAsia="Times New Roman" w:cstheme="minorHAnsi"/>
                <w:b/>
                <w:color w:val="000000"/>
                <w:sz w:val="18"/>
                <w:szCs w:val="18"/>
                <w:lang w:eastAsia="es-ES"/>
              </w:rPr>
              <w:t>Cádiz</w:t>
            </w:r>
          </w:p>
        </w:tc>
        <w:tc>
          <w:tcPr>
            <w:tcW w:w="854" w:type="dxa"/>
            <w:tcBorders>
              <w:top w:val="nil"/>
              <w:left w:val="nil"/>
              <w:bottom w:val="nil"/>
              <w:right w:val="nil"/>
            </w:tcBorders>
            <w:shd w:val="clear" w:color="auto" w:fill="E2EFD9" w:themeFill="accent6" w:themeFillTint="33"/>
            <w:noWrap/>
            <w:vAlign w:val="bottom"/>
            <w:hideMark/>
          </w:tcPr>
          <w:p w:rsidR="00F14DB4" w:rsidRPr="00404F40" w:rsidRDefault="00F14DB4" w:rsidP="00480100">
            <w:pPr>
              <w:spacing w:after="0" w:line="240" w:lineRule="auto"/>
              <w:jc w:val="right"/>
              <w:rPr>
                <w:rFonts w:eastAsia="Times New Roman" w:cstheme="minorHAnsi"/>
                <w:b/>
                <w:color w:val="000000"/>
                <w:sz w:val="18"/>
                <w:szCs w:val="18"/>
                <w:lang w:eastAsia="es-ES"/>
              </w:rPr>
            </w:pPr>
            <w:r w:rsidRPr="00404F40">
              <w:rPr>
                <w:rFonts w:eastAsia="Times New Roman" w:cstheme="minorHAnsi"/>
                <w:b/>
                <w:color w:val="000000"/>
                <w:sz w:val="18"/>
                <w:szCs w:val="18"/>
                <w:lang w:eastAsia="es-ES"/>
              </w:rPr>
              <w:t>Córdoba</w:t>
            </w:r>
          </w:p>
        </w:tc>
        <w:tc>
          <w:tcPr>
            <w:tcW w:w="854" w:type="dxa"/>
            <w:tcBorders>
              <w:top w:val="nil"/>
              <w:left w:val="nil"/>
              <w:bottom w:val="nil"/>
              <w:right w:val="nil"/>
            </w:tcBorders>
            <w:shd w:val="clear" w:color="auto" w:fill="E2EFD9" w:themeFill="accent6" w:themeFillTint="33"/>
            <w:noWrap/>
            <w:vAlign w:val="bottom"/>
            <w:hideMark/>
          </w:tcPr>
          <w:p w:rsidR="00F14DB4" w:rsidRPr="00404F40" w:rsidRDefault="00F14DB4" w:rsidP="00480100">
            <w:pPr>
              <w:spacing w:after="0" w:line="240" w:lineRule="auto"/>
              <w:jc w:val="right"/>
              <w:rPr>
                <w:rFonts w:eastAsia="Times New Roman" w:cstheme="minorHAnsi"/>
                <w:b/>
                <w:color w:val="000000"/>
                <w:sz w:val="18"/>
                <w:szCs w:val="18"/>
                <w:lang w:eastAsia="es-ES"/>
              </w:rPr>
            </w:pPr>
            <w:r w:rsidRPr="00404F40">
              <w:rPr>
                <w:rFonts w:eastAsia="Times New Roman" w:cstheme="minorHAnsi"/>
                <w:b/>
                <w:color w:val="000000"/>
                <w:sz w:val="18"/>
                <w:szCs w:val="18"/>
                <w:lang w:eastAsia="es-ES"/>
              </w:rPr>
              <w:t>Granada</w:t>
            </w:r>
          </w:p>
        </w:tc>
        <w:tc>
          <w:tcPr>
            <w:tcW w:w="735" w:type="dxa"/>
            <w:tcBorders>
              <w:top w:val="nil"/>
              <w:left w:val="nil"/>
              <w:bottom w:val="nil"/>
              <w:right w:val="nil"/>
            </w:tcBorders>
            <w:shd w:val="clear" w:color="auto" w:fill="E2EFD9" w:themeFill="accent6" w:themeFillTint="33"/>
            <w:noWrap/>
            <w:vAlign w:val="bottom"/>
            <w:hideMark/>
          </w:tcPr>
          <w:p w:rsidR="00F14DB4" w:rsidRPr="00404F40" w:rsidRDefault="00F14DB4" w:rsidP="00480100">
            <w:pPr>
              <w:spacing w:after="0" w:line="240" w:lineRule="auto"/>
              <w:jc w:val="right"/>
              <w:rPr>
                <w:rFonts w:eastAsia="Times New Roman" w:cstheme="minorHAnsi"/>
                <w:b/>
                <w:color w:val="000000"/>
                <w:sz w:val="18"/>
                <w:szCs w:val="18"/>
                <w:lang w:eastAsia="es-ES"/>
              </w:rPr>
            </w:pPr>
            <w:r w:rsidRPr="00404F40">
              <w:rPr>
                <w:rFonts w:eastAsia="Times New Roman" w:cstheme="minorHAnsi"/>
                <w:b/>
                <w:color w:val="000000"/>
                <w:sz w:val="18"/>
                <w:szCs w:val="18"/>
                <w:lang w:eastAsia="es-ES"/>
              </w:rPr>
              <w:t>Huelva</w:t>
            </w:r>
          </w:p>
        </w:tc>
        <w:tc>
          <w:tcPr>
            <w:tcW w:w="732" w:type="dxa"/>
            <w:tcBorders>
              <w:top w:val="nil"/>
              <w:left w:val="nil"/>
              <w:bottom w:val="nil"/>
              <w:right w:val="nil"/>
            </w:tcBorders>
            <w:shd w:val="clear" w:color="auto" w:fill="E2EFD9" w:themeFill="accent6" w:themeFillTint="33"/>
            <w:noWrap/>
            <w:vAlign w:val="bottom"/>
            <w:hideMark/>
          </w:tcPr>
          <w:p w:rsidR="00F14DB4" w:rsidRPr="00404F40" w:rsidRDefault="00F14DB4" w:rsidP="00480100">
            <w:pPr>
              <w:spacing w:after="0" w:line="240" w:lineRule="auto"/>
              <w:jc w:val="right"/>
              <w:rPr>
                <w:rFonts w:eastAsia="Times New Roman" w:cstheme="minorHAnsi"/>
                <w:b/>
                <w:color w:val="000000"/>
                <w:sz w:val="18"/>
                <w:szCs w:val="18"/>
                <w:lang w:eastAsia="es-ES"/>
              </w:rPr>
            </w:pPr>
            <w:r w:rsidRPr="00404F40">
              <w:rPr>
                <w:rFonts w:eastAsia="Times New Roman" w:cstheme="minorHAnsi"/>
                <w:b/>
                <w:color w:val="000000"/>
                <w:sz w:val="18"/>
                <w:szCs w:val="18"/>
                <w:lang w:eastAsia="es-ES"/>
              </w:rPr>
              <w:t>Jaén</w:t>
            </w:r>
          </w:p>
        </w:tc>
        <w:tc>
          <w:tcPr>
            <w:tcW w:w="823" w:type="dxa"/>
            <w:tcBorders>
              <w:top w:val="nil"/>
              <w:left w:val="nil"/>
              <w:bottom w:val="nil"/>
              <w:right w:val="nil"/>
            </w:tcBorders>
            <w:shd w:val="clear" w:color="auto" w:fill="E2EFD9" w:themeFill="accent6" w:themeFillTint="33"/>
            <w:noWrap/>
            <w:vAlign w:val="bottom"/>
            <w:hideMark/>
          </w:tcPr>
          <w:p w:rsidR="00F14DB4" w:rsidRPr="00404F40" w:rsidRDefault="00F14DB4" w:rsidP="00480100">
            <w:pPr>
              <w:spacing w:after="0" w:line="240" w:lineRule="auto"/>
              <w:jc w:val="right"/>
              <w:rPr>
                <w:rFonts w:eastAsia="Times New Roman" w:cstheme="minorHAnsi"/>
                <w:b/>
                <w:color w:val="000000"/>
                <w:sz w:val="18"/>
                <w:szCs w:val="18"/>
                <w:lang w:eastAsia="es-ES"/>
              </w:rPr>
            </w:pPr>
            <w:r w:rsidRPr="00404F40">
              <w:rPr>
                <w:rFonts w:eastAsia="Times New Roman" w:cstheme="minorHAnsi"/>
                <w:b/>
                <w:color w:val="000000"/>
                <w:sz w:val="18"/>
                <w:szCs w:val="18"/>
                <w:lang w:eastAsia="es-ES"/>
              </w:rPr>
              <w:t>Málaga</w:t>
            </w:r>
          </w:p>
        </w:tc>
        <w:tc>
          <w:tcPr>
            <w:tcW w:w="823" w:type="dxa"/>
            <w:tcBorders>
              <w:top w:val="nil"/>
              <w:left w:val="nil"/>
              <w:bottom w:val="nil"/>
              <w:right w:val="nil"/>
            </w:tcBorders>
            <w:shd w:val="clear" w:color="auto" w:fill="E2EFD9" w:themeFill="accent6" w:themeFillTint="33"/>
            <w:noWrap/>
            <w:vAlign w:val="bottom"/>
            <w:hideMark/>
          </w:tcPr>
          <w:p w:rsidR="00F14DB4" w:rsidRPr="00404F40" w:rsidRDefault="00F14DB4" w:rsidP="00480100">
            <w:pPr>
              <w:spacing w:after="0" w:line="240" w:lineRule="auto"/>
              <w:jc w:val="right"/>
              <w:rPr>
                <w:rFonts w:eastAsia="Times New Roman" w:cstheme="minorHAnsi"/>
                <w:b/>
                <w:color w:val="000000"/>
                <w:sz w:val="18"/>
                <w:szCs w:val="18"/>
                <w:lang w:eastAsia="es-ES"/>
              </w:rPr>
            </w:pPr>
            <w:r w:rsidRPr="00404F40">
              <w:rPr>
                <w:rFonts w:eastAsia="Times New Roman" w:cstheme="minorHAnsi"/>
                <w:b/>
                <w:color w:val="000000"/>
                <w:sz w:val="18"/>
                <w:szCs w:val="18"/>
                <w:lang w:eastAsia="es-ES"/>
              </w:rPr>
              <w:t>Sevilla</w:t>
            </w:r>
          </w:p>
        </w:tc>
      </w:tr>
      <w:tr w:rsidR="00F14DB4" w:rsidRPr="00404F40"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III Plan Andaluz de Vivienda  y Suelo1999-2002</w:t>
            </w:r>
          </w:p>
        </w:tc>
        <w:tc>
          <w:tcPr>
            <w:tcW w:w="799"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8.136</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Pr>
                <w:rFonts w:eastAsia="Times New Roman" w:cstheme="minorHAnsi"/>
                <w:color w:val="000000"/>
                <w:sz w:val="18"/>
                <w:szCs w:val="18"/>
                <w:lang w:eastAsia="es-ES"/>
              </w:rPr>
              <w:t>42</w:t>
            </w:r>
            <w:r w:rsidRPr="00404F40">
              <w:rPr>
                <w:rFonts w:eastAsia="Times New Roman" w:cstheme="minorHAnsi"/>
                <w:color w:val="000000"/>
                <w:sz w:val="18"/>
                <w:szCs w:val="18"/>
                <w:lang w:eastAsia="es-ES"/>
              </w:rPr>
              <w:t>.</w:t>
            </w:r>
            <w:r>
              <w:rPr>
                <w:rFonts w:eastAsia="Times New Roman" w:cstheme="minorHAnsi"/>
                <w:color w:val="000000"/>
                <w:sz w:val="18"/>
                <w:szCs w:val="18"/>
                <w:lang w:eastAsia="es-ES"/>
              </w:rPr>
              <w:t>421</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w:t>
            </w:r>
            <w:r>
              <w:rPr>
                <w:rFonts w:eastAsia="Times New Roman" w:cstheme="minorHAnsi"/>
                <w:color w:val="000000"/>
                <w:sz w:val="18"/>
                <w:szCs w:val="18"/>
                <w:lang w:eastAsia="es-ES"/>
              </w:rPr>
              <w:t>9</w:t>
            </w:r>
            <w:r w:rsidRPr="00404F40">
              <w:rPr>
                <w:rFonts w:eastAsia="Times New Roman" w:cstheme="minorHAnsi"/>
                <w:color w:val="000000"/>
                <w:sz w:val="18"/>
                <w:szCs w:val="18"/>
                <w:lang w:eastAsia="es-ES"/>
              </w:rPr>
              <w:t>.</w:t>
            </w:r>
            <w:r>
              <w:rPr>
                <w:rFonts w:eastAsia="Times New Roman" w:cstheme="minorHAnsi"/>
                <w:color w:val="000000"/>
                <w:sz w:val="18"/>
                <w:szCs w:val="18"/>
                <w:lang w:eastAsia="es-ES"/>
              </w:rPr>
              <w:t>185</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Pr>
                <w:rFonts w:eastAsia="Times New Roman" w:cstheme="minorHAnsi"/>
                <w:color w:val="000000"/>
                <w:sz w:val="18"/>
                <w:szCs w:val="18"/>
                <w:lang w:eastAsia="es-ES"/>
              </w:rPr>
              <w:t>14.079</w:t>
            </w:r>
          </w:p>
        </w:tc>
        <w:tc>
          <w:tcPr>
            <w:tcW w:w="735"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14.</w:t>
            </w:r>
            <w:r>
              <w:rPr>
                <w:rFonts w:eastAsia="Times New Roman" w:cstheme="minorHAnsi"/>
                <w:color w:val="000000"/>
                <w:sz w:val="18"/>
                <w:szCs w:val="18"/>
                <w:lang w:eastAsia="es-ES"/>
              </w:rPr>
              <w:t>731</w:t>
            </w:r>
          </w:p>
        </w:tc>
        <w:tc>
          <w:tcPr>
            <w:tcW w:w="732"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12.</w:t>
            </w:r>
            <w:r>
              <w:rPr>
                <w:rFonts w:eastAsia="Times New Roman" w:cstheme="minorHAnsi"/>
                <w:color w:val="000000"/>
                <w:sz w:val="18"/>
                <w:szCs w:val="18"/>
                <w:lang w:eastAsia="es-ES"/>
              </w:rPr>
              <w:t>316</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20.</w:t>
            </w:r>
            <w:r>
              <w:rPr>
                <w:rFonts w:eastAsia="Times New Roman" w:cstheme="minorHAnsi"/>
                <w:color w:val="000000"/>
                <w:sz w:val="18"/>
                <w:szCs w:val="18"/>
                <w:lang w:eastAsia="es-ES"/>
              </w:rPr>
              <w:t>451</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Pr>
                <w:rFonts w:eastAsia="Times New Roman" w:cstheme="minorHAnsi"/>
                <w:color w:val="000000"/>
                <w:sz w:val="18"/>
                <w:szCs w:val="18"/>
                <w:lang w:eastAsia="es-ES"/>
              </w:rPr>
              <w:t>51.248</w:t>
            </w:r>
          </w:p>
        </w:tc>
      </w:tr>
      <w:tr w:rsidR="00F14DB4" w:rsidRPr="00404F40"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IV Plan Andaluz de Vivienda  y Suelo 2003-2007</w:t>
            </w:r>
          </w:p>
        </w:tc>
        <w:tc>
          <w:tcPr>
            <w:tcW w:w="799"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19.828</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51.327</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30.160</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23.992</w:t>
            </w:r>
          </w:p>
        </w:tc>
        <w:tc>
          <w:tcPr>
            <w:tcW w:w="735"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24.253</w:t>
            </w:r>
          </w:p>
        </w:tc>
        <w:tc>
          <w:tcPr>
            <w:tcW w:w="732"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23.413</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34.107</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70.866</w:t>
            </w:r>
          </w:p>
        </w:tc>
      </w:tr>
      <w:tr w:rsidR="00F14DB4" w:rsidRPr="00404F40"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Plan Concertado de Vivienda y Suelo 2008-2012.</w:t>
            </w:r>
          </w:p>
        </w:tc>
        <w:tc>
          <w:tcPr>
            <w:tcW w:w="799"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32.437</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37.601</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29.843</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24.407</w:t>
            </w:r>
          </w:p>
        </w:tc>
        <w:tc>
          <w:tcPr>
            <w:tcW w:w="735"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20.042</w:t>
            </w:r>
          </w:p>
        </w:tc>
        <w:tc>
          <w:tcPr>
            <w:tcW w:w="732"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28.884</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35.781</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56.871</w:t>
            </w:r>
          </w:p>
        </w:tc>
      </w:tr>
      <w:tr w:rsidR="00F14DB4" w:rsidRPr="00404F40"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Pr>
                <w:rFonts w:eastAsia="Times New Roman" w:cstheme="minorHAnsi"/>
                <w:color w:val="000000"/>
                <w:sz w:val="18"/>
                <w:szCs w:val="18"/>
                <w:lang w:eastAsia="es-ES"/>
              </w:rPr>
              <w:t>Actuaciones</w:t>
            </w:r>
            <w:r w:rsidRPr="00EF1B60">
              <w:rPr>
                <w:rFonts w:eastAsia="Times New Roman" w:cstheme="minorHAnsi"/>
                <w:color w:val="000000"/>
                <w:sz w:val="18"/>
                <w:szCs w:val="18"/>
                <w:lang w:eastAsia="es-ES"/>
              </w:rPr>
              <w:t xml:space="preserve"> 2013-2015</w:t>
            </w:r>
          </w:p>
        </w:tc>
        <w:tc>
          <w:tcPr>
            <w:tcW w:w="799"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2.969</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8.667</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4.474</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6.644</w:t>
            </w:r>
          </w:p>
        </w:tc>
        <w:tc>
          <w:tcPr>
            <w:tcW w:w="735"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3.484</w:t>
            </w:r>
          </w:p>
        </w:tc>
        <w:tc>
          <w:tcPr>
            <w:tcW w:w="732"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5.462</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7.356</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7.705</w:t>
            </w:r>
          </w:p>
        </w:tc>
      </w:tr>
      <w:tr w:rsidR="00F14DB4" w:rsidRPr="00404F40"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Plan Vivienda 2016-2019</w:t>
            </w:r>
          </w:p>
        </w:tc>
        <w:tc>
          <w:tcPr>
            <w:tcW w:w="799"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4.788</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26.748</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13.793</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13.920</w:t>
            </w:r>
          </w:p>
        </w:tc>
        <w:tc>
          <w:tcPr>
            <w:tcW w:w="735"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9.619</w:t>
            </w:r>
          </w:p>
        </w:tc>
        <w:tc>
          <w:tcPr>
            <w:tcW w:w="732"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6.539</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17.292</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31.565</w:t>
            </w:r>
          </w:p>
        </w:tc>
      </w:tr>
      <w:tr w:rsidR="00F14DB4" w:rsidRPr="00404F40"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EF1B6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Plan Vivienda 2020-2030</w:t>
            </w:r>
            <w:r>
              <w:rPr>
                <w:rFonts w:eastAsia="Times New Roman" w:cstheme="minorHAnsi"/>
                <w:color w:val="000000"/>
                <w:sz w:val="18"/>
                <w:szCs w:val="18"/>
                <w:lang w:eastAsia="es-ES"/>
              </w:rPr>
              <w:t>*</w:t>
            </w:r>
            <w:r w:rsidRPr="00EF1B60">
              <w:rPr>
                <w:rFonts w:eastAsia="Times New Roman" w:cstheme="minorHAnsi"/>
                <w:color w:val="000000"/>
                <w:sz w:val="18"/>
                <w:szCs w:val="18"/>
                <w:lang w:eastAsia="es-ES"/>
              </w:rPr>
              <w:t>*</w:t>
            </w:r>
          </w:p>
        </w:tc>
        <w:tc>
          <w:tcPr>
            <w:tcW w:w="799"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2.722</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22.813</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7.435</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10.321</w:t>
            </w:r>
          </w:p>
        </w:tc>
        <w:tc>
          <w:tcPr>
            <w:tcW w:w="735"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5.232</w:t>
            </w:r>
          </w:p>
        </w:tc>
        <w:tc>
          <w:tcPr>
            <w:tcW w:w="732"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4.145</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14.507</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25.130</w:t>
            </w:r>
          </w:p>
        </w:tc>
      </w:tr>
      <w:tr w:rsidR="00F14DB4" w:rsidRPr="00404F40" w:rsidTr="007F0F03">
        <w:trPr>
          <w:trHeight w:val="285"/>
          <w:jc w:val="center"/>
        </w:trPr>
        <w:tc>
          <w:tcPr>
            <w:tcW w:w="3686" w:type="dxa"/>
            <w:tcBorders>
              <w:top w:val="nil"/>
              <w:left w:val="nil"/>
              <w:bottom w:val="nil"/>
              <w:right w:val="nil"/>
            </w:tcBorders>
            <w:shd w:val="clear" w:color="auto" w:fill="E2EFD9" w:themeFill="accent6" w:themeFillTint="33"/>
            <w:noWrap/>
            <w:vAlign w:val="bottom"/>
            <w:hideMark/>
          </w:tcPr>
          <w:p w:rsidR="00F14DB4" w:rsidRPr="00404F40" w:rsidRDefault="00F14DB4" w:rsidP="006252A9">
            <w:pPr>
              <w:spacing w:after="0" w:line="240" w:lineRule="auto"/>
              <w:rPr>
                <w:rFonts w:eastAsia="Times New Roman" w:cstheme="minorHAnsi"/>
                <w:color w:val="000000"/>
                <w:sz w:val="18"/>
                <w:szCs w:val="18"/>
                <w:lang w:eastAsia="es-ES"/>
              </w:rPr>
            </w:pPr>
            <w:r w:rsidRPr="00404F40">
              <w:rPr>
                <w:rFonts w:eastAsia="Times New Roman" w:cstheme="minorHAnsi"/>
                <w:color w:val="000000"/>
                <w:sz w:val="18"/>
                <w:szCs w:val="18"/>
                <w:lang w:eastAsia="es-ES"/>
              </w:rPr>
              <w:t>Suma actuaciones</w:t>
            </w:r>
          </w:p>
        </w:tc>
        <w:tc>
          <w:tcPr>
            <w:tcW w:w="799"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70.880</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18</w:t>
            </w:r>
            <w:r>
              <w:rPr>
                <w:rFonts w:eastAsia="Times New Roman" w:cstheme="minorHAnsi"/>
                <w:color w:val="000000"/>
                <w:sz w:val="18"/>
                <w:szCs w:val="18"/>
                <w:lang w:eastAsia="es-ES"/>
              </w:rPr>
              <w:t>9</w:t>
            </w:r>
            <w:r w:rsidRPr="00404F40">
              <w:rPr>
                <w:rFonts w:eastAsia="Times New Roman" w:cstheme="minorHAnsi"/>
                <w:color w:val="000000"/>
                <w:sz w:val="18"/>
                <w:szCs w:val="18"/>
                <w:lang w:eastAsia="es-ES"/>
              </w:rPr>
              <w:t>.5</w:t>
            </w:r>
            <w:r>
              <w:rPr>
                <w:rFonts w:eastAsia="Times New Roman" w:cstheme="minorHAnsi"/>
                <w:color w:val="000000"/>
                <w:sz w:val="18"/>
                <w:szCs w:val="18"/>
                <w:lang w:eastAsia="es-ES"/>
              </w:rPr>
              <w:t>77</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104.</w:t>
            </w:r>
            <w:r>
              <w:rPr>
                <w:rFonts w:eastAsia="Times New Roman" w:cstheme="minorHAnsi"/>
                <w:color w:val="000000"/>
                <w:sz w:val="18"/>
                <w:szCs w:val="18"/>
                <w:lang w:eastAsia="es-ES"/>
              </w:rPr>
              <w:t>890</w:t>
            </w:r>
          </w:p>
        </w:tc>
        <w:tc>
          <w:tcPr>
            <w:tcW w:w="854"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93.</w:t>
            </w:r>
            <w:r>
              <w:rPr>
                <w:rFonts w:eastAsia="Times New Roman" w:cstheme="minorHAnsi"/>
                <w:color w:val="000000"/>
                <w:sz w:val="18"/>
                <w:szCs w:val="18"/>
                <w:lang w:eastAsia="es-ES"/>
              </w:rPr>
              <w:t>363</w:t>
            </w:r>
          </w:p>
        </w:tc>
        <w:tc>
          <w:tcPr>
            <w:tcW w:w="735"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Pr>
                <w:rFonts w:eastAsia="Times New Roman" w:cstheme="minorHAnsi"/>
                <w:color w:val="000000"/>
                <w:sz w:val="18"/>
                <w:szCs w:val="18"/>
                <w:lang w:eastAsia="es-ES"/>
              </w:rPr>
              <w:t>77.367</w:t>
            </w:r>
          </w:p>
        </w:tc>
        <w:tc>
          <w:tcPr>
            <w:tcW w:w="732"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80.</w:t>
            </w:r>
            <w:r>
              <w:rPr>
                <w:rFonts w:eastAsia="Times New Roman" w:cstheme="minorHAnsi"/>
                <w:color w:val="000000"/>
                <w:sz w:val="18"/>
                <w:szCs w:val="18"/>
                <w:lang w:eastAsia="es-ES"/>
              </w:rPr>
              <w:t>759</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129.</w:t>
            </w:r>
            <w:r>
              <w:rPr>
                <w:rFonts w:eastAsia="Times New Roman" w:cstheme="minorHAnsi"/>
                <w:color w:val="000000"/>
                <w:sz w:val="18"/>
                <w:szCs w:val="18"/>
                <w:lang w:eastAsia="es-ES"/>
              </w:rPr>
              <w:t>494</w:t>
            </w:r>
          </w:p>
        </w:tc>
        <w:tc>
          <w:tcPr>
            <w:tcW w:w="823" w:type="dxa"/>
            <w:tcBorders>
              <w:top w:val="nil"/>
              <w:left w:val="nil"/>
              <w:bottom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w:t>
            </w:r>
            <w:r>
              <w:rPr>
                <w:rFonts w:eastAsia="Times New Roman" w:cstheme="minorHAnsi"/>
                <w:color w:val="000000"/>
                <w:sz w:val="18"/>
                <w:szCs w:val="18"/>
                <w:lang w:eastAsia="es-ES"/>
              </w:rPr>
              <w:t>4</w:t>
            </w:r>
            <w:r w:rsidRPr="00404F40">
              <w:rPr>
                <w:rFonts w:eastAsia="Times New Roman" w:cstheme="minorHAnsi"/>
                <w:color w:val="000000"/>
                <w:sz w:val="18"/>
                <w:szCs w:val="18"/>
                <w:lang w:eastAsia="es-ES"/>
              </w:rPr>
              <w:t>3.</w:t>
            </w:r>
            <w:r>
              <w:rPr>
                <w:rFonts w:eastAsia="Times New Roman" w:cstheme="minorHAnsi"/>
                <w:color w:val="000000"/>
                <w:sz w:val="18"/>
                <w:szCs w:val="18"/>
                <w:lang w:eastAsia="es-ES"/>
              </w:rPr>
              <w:t>3</w:t>
            </w:r>
            <w:r w:rsidRPr="00404F40">
              <w:rPr>
                <w:rFonts w:eastAsia="Times New Roman" w:cstheme="minorHAnsi"/>
                <w:color w:val="000000"/>
                <w:sz w:val="18"/>
                <w:szCs w:val="18"/>
                <w:lang w:eastAsia="es-ES"/>
              </w:rPr>
              <w:t>85</w:t>
            </w:r>
          </w:p>
        </w:tc>
      </w:tr>
      <w:tr w:rsidR="00F14DB4" w:rsidRPr="00404F40" w:rsidTr="007F0F03">
        <w:trPr>
          <w:trHeight w:val="285"/>
          <w:jc w:val="center"/>
        </w:trPr>
        <w:tc>
          <w:tcPr>
            <w:tcW w:w="3686" w:type="dxa"/>
            <w:tcBorders>
              <w:top w:val="nil"/>
              <w:left w:val="nil"/>
              <w:right w:val="nil"/>
            </w:tcBorders>
            <w:shd w:val="clear" w:color="auto" w:fill="E2EFD9" w:themeFill="accent6" w:themeFillTint="33"/>
            <w:noWrap/>
            <w:vAlign w:val="bottom"/>
            <w:hideMark/>
          </w:tcPr>
          <w:p w:rsidR="00F14DB4" w:rsidRPr="00404F40" w:rsidRDefault="00F14DB4" w:rsidP="006252A9">
            <w:pPr>
              <w:spacing w:after="0" w:line="240" w:lineRule="auto"/>
              <w:rPr>
                <w:rFonts w:eastAsia="Times New Roman" w:cstheme="minorHAnsi"/>
                <w:color w:val="000000"/>
                <w:sz w:val="18"/>
                <w:szCs w:val="18"/>
                <w:lang w:eastAsia="es-ES"/>
              </w:rPr>
            </w:pPr>
            <w:r w:rsidRPr="00404F40">
              <w:rPr>
                <w:rFonts w:eastAsia="Times New Roman" w:cstheme="minorHAnsi"/>
                <w:color w:val="000000"/>
                <w:sz w:val="18"/>
                <w:szCs w:val="18"/>
                <w:lang w:eastAsia="es-ES"/>
              </w:rPr>
              <w:t>Porcentaje sobre total Andalucía</w:t>
            </w:r>
          </w:p>
        </w:tc>
        <w:tc>
          <w:tcPr>
            <w:tcW w:w="799" w:type="dxa"/>
            <w:tcBorders>
              <w:top w:val="nil"/>
              <w:left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7,2</w:t>
            </w:r>
          </w:p>
        </w:tc>
        <w:tc>
          <w:tcPr>
            <w:tcW w:w="823" w:type="dxa"/>
            <w:tcBorders>
              <w:top w:val="nil"/>
              <w:left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Pr>
                <w:rFonts w:eastAsia="Times New Roman" w:cstheme="minorHAnsi"/>
                <w:color w:val="000000"/>
                <w:sz w:val="18"/>
                <w:szCs w:val="18"/>
                <w:lang w:eastAsia="es-ES"/>
              </w:rPr>
              <w:t>19,2</w:t>
            </w:r>
          </w:p>
        </w:tc>
        <w:tc>
          <w:tcPr>
            <w:tcW w:w="854" w:type="dxa"/>
            <w:tcBorders>
              <w:top w:val="nil"/>
              <w:left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Pr>
                <w:rFonts w:eastAsia="Times New Roman" w:cstheme="minorHAnsi"/>
                <w:color w:val="000000"/>
                <w:sz w:val="18"/>
                <w:szCs w:val="18"/>
                <w:lang w:eastAsia="es-ES"/>
              </w:rPr>
              <w:t>10,6</w:t>
            </w:r>
          </w:p>
        </w:tc>
        <w:tc>
          <w:tcPr>
            <w:tcW w:w="854" w:type="dxa"/>
            <w:tcBorders>
              <w:top w:val="nil"/>
              <w:left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9,4</w:t>
            </w:r>
          </w:p>
        </w:tc>
        <w:tc>
          <w:tcPr>
            <w:tcW w:w="735" w:type="dxa"/>
            <w:tcBorders>
              <w:top w:val="nil"/>
              <w:left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7,8</w:t>
            </w:r>
          </w:p>
        </w:tc>
        <w:tc>
          <w:tcPr>
            <w:tcW w:w="732" w:type="dxa"/>
            <w:tcBorders>
              <w:top w:val="nil"/>
              <w:left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8,</w:t>
            </w:r>
            <w:r>
              <w:rPr>
                <w:rFonts w:eastAsia="Times New Roman" w:cstheme="minorHAnsi"/>
                <w:color w:val="000000"/>
                <w:sz w:val="18"/>
                <w:szCs w:val="18"/>
                <w:lang w:eastAsia="es-ES"/>
              </w:rPr>
              <w:t>2</w:t>
            </w:r>
          </w:p>
        </w:tc>
        <w:tc>
          <w:tcPr>
            <w:tcW w:w="823" w:type="dxa"/>
            <w:tcBorders>
              <w:top w:val="nil"/>
              <w:left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13,1</w:t>
            </w:r>
          </w:p>
        </w:tc>
        <w:tc>
          <w:tcPr>
            <w:tcW w:w="823" w:type="dxa"/>
            <w:tcBorders>
              <w:top w:val="nil"/>
              <w:left w:val="nil"/>
              <w:right w:val="nil"/>
            </w:tcBorders>
            <w:shd w:val="clear" w:color="FFFFFF" w:fill="FFFFFF"/>
            <w:noWrap/>
            <w:vAlign w:val="bottom"/>
            <w:hideMark/>
          </w:tcPr>
          <w:p w:rsidR="00F14DB4" w:rsidRPr="00404F40" w:rsidRDefault="00F14DB4" w:rsidP="006252A9">
            <w:pPr>
              <w:spacing w:after="0" w:line="240" w:lineRule="auto"/>
              <w:jc w:val="right"/>
              <w:rPr>
                <w:rFonts w:eastAsia="Times New Roman" w:cstheme="minorHAnsi"/>
                <w:color w:val="000000"/>
                <w:sz w:val="18"/>
                <w:szCs w:val="18"/>
                <w:lang w:eastAsia="es-ES"/>
              </w:rPr>
            </w:pPr>
            <w:r w:rsidRPr="00404F40">
              <w:rPr>
                <w:rFonts w:eastAsia="Times New Roman" w:cstheme="minorHAnsi"/>
                <w:color w:val="000000"/>
                <w:sz w:val="18"/>
                <w:szCs w:val="18"/>
                <w:lang w:eastAsia="es-ES"/>
              </w:rPr>
              <w:t>2</w:t>
            </w:r>
            <w:r>
              <w:rPr>
                <w:rFonts w:eastAsia="Times New Roman" w:cstheme="minorHAnsi"/>
                <w:color w:val="000000"/>
                <w:sz w:val="18"/>
                <w:szCs w:val="18"/>
                <w:lang w:eastAsia="es-ES"/>
              </w:rPr>
              <w:t>4</w:t>
            </w:r>
            <w:r w:rsidRPr="00404F40">
              <w:rPr>
                <w:rFonts w:eastAsia="Times New Roman" w:cstheme="minorHAnsi"/>
                <w:color w:val="000000"/>
                <w:sz w:val="18"/>
                <w:szCs w:val="18"/>
                <w:lang w:eastAsia="es-ES"/>
              </w:rPr>
              <w:t>,6</w:t>
            </w:r>
          </w:p>
        </w:tc>
      </w:tr>
      <w:tr w:rsidR="00F14DB4" w:rsidRPr="00404F40" w:rsidTr="001D429A">
        <w:trPr>
          <w:trHeight w:val="855"/>
          <w:jc w:val="center"/>
        </w:trPr>
        <w:tc>
          <w:tcPr>
            <w:tcW w:w="10129" w:type="dxa"/>
            <w:gridSpan w:val="9"/>
            <w:tcBorders>
              <w:top w:val="nil"/>
              <w:left w:val="nil"/>
              <w:bottom w:val="single" w:sz="2" w:space="0" w:color="70AD47" w:themeColor="accent6"/>
              <w:right w:val="nil"/>
            </w:tcBorders>
            <w:shd w:val="clear" w:color="auto" w:fill="auto"/>
            <w:noWrap/>
            <w:vAlign w:val="bottom"/>
            <w:hideMark/>
          </w:tcPr>
          <w:p w:rsidR="00F14DB4"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w:t>
            </w:r>
            <w:r>
              <w:rPr>
                <w:rFonts w:eastAsia="Times New Roman" w:cstheme="minorHAnsi"/>
                <w:color w:val="000000"/>
                <w:sz w:val="18"/>
                <w:szCs w:val="18"/>
                <w:lang w:eastAsia="es-ES"/>
              </w:rPr>
              <w:t>Incluye actuaciones en venta, alquiler, rehabilitación y suelo.</w:t>
            </w:r>
          </w:p>
          <w:p w:rsidR="00F14DB4" w:rsidRPr="00404F40" w:rsidRDefault="00F14DB4" w:rsidP="006252A9">
            <w:pPr>
              <w:spacing w:after="0" w:line="240" w:lineRule="auto"/>
              <w:rPr>
                <w:rFonts w:eastAsia="Times New Roman" w:cstheme="minorHAnsi"/>
                <w:color w:val="000000"/>
                <w:sz w:val="18"/>
                <w:szCs w:val="18"/>
                <w:lang w:eastAsia="es-ES"/>
              </w:rPr>
            </w:pPr>
            <w:r>
              <w:rPr>
                <w:rFonts w:eastAsia="Times New Roman" w:cstheme="minorHAnsi"/>
                <w:color w:val="000000"/>
                <w:sz w:val="18"/>
                <w:szCs w:val="18"/>
                <w:lang w:eastAsia="es-ES"/>
              </w:rPr>
              <w:t>**</w:t>
            </w:r>
            <w:r w:rsidRPr="00404F40">
              <w:rPr>
                <w:rFonts w:eastAsia="Times New Roman" w:cstheme="minorHAnsi"/>
                <w:color w:val="000000"/>
                <w:sz w:val="18"/>
                <w:szCs w:val="18"/>
                <w:lang w:eastAsia="es-ES"/>
              </w:rPr>
              <w:t>Ejercicios 2020 y 2021.</w:t>
            </w:r>
          </w:p>
          <w:p w:rsidR="00F14DB4" w:rsidRPr="00404F40" w:rsidRDefault="00F14DB4" w:rsidP="006252A9">
            <w:pPr>
              <w:spacing w:after="0" w:line="240" w:lineRule="auto"/>
              <w:rPr>
                <w:rFonts w:eastAsia="Times New Roman" w:cstheme="minorHAnsi"/>
                <w:color w:val="000000"/>
                <w:sz w:val="18"/>
                <w:szCs w:val="18"/>
                <w:lang w:eastAsia="es-ES"/>
              </w:rPr>
            </w:pPr>
            <w:r w:rsidRPr="00EF1B60">
              <w:rPr>
                <w:rFonts w:eastAsia="Times New Roman" w:cstheme="minorHAnsi"/>
                <w:color w:val="000000"/>
                <w:sz w:val="18"/>
                <w:szCs w:val="18"/>
                <w:lang w:eastAsia="es-ES"/>
              </w:rPr>
              <w:t xml:space="preserve">Fuente: </w:t>
            </w:r>
            <w:r w:rsidRPr="009D646E">
              <w:rPr>
                <w:rFonts w:eastAsia="Times New Roman" w:cstheme="minorHAnsi"/>
                <w:i/>
                <w:color w:val="000000"/>
                <w:sz w:val="18"/>
                <w:szCs w:val="18"/>
                <w:lang w:eastAsia="es-ES"/>
              </w:rPr>
              <w:t>Analistas Económicos de Andalucía</w:t>
            </w:r>
            <w:r>
              <w:rPr>
                <w:rFonts w:eastAsia="Times New Roman" w:cstheme="minorHAnsi"/>
                <w:color w:val="000000"/>
                <w:sz w:val="18"/>
                <w:szCs w:val="18"/>
                <w:lang w:eastAsia="es-ES"/>
              </w:rPr>
              <w:t xml:space="preserve"> a partir de la </w:t>
            </w:r>
            <w:r w:rsidRPr="00EF1B60">
              <w:rPr>
                <w:rFonts w:eastAsia="Times New Roman" w:cstheme="minorHAnsi"/>
                <w:color w:val="000000"/>
                <w:sz w:val="18"/>
                <w:szCs w:val="18"/>
                <w:lang w:eastAsia="es-ES"/>
              </w:rPr>
              <w:t xml:space="preserve">Consejería de </w:t>
            </w:r>
            <w:r>
              <w:rPr>
                <w:rFonts w:eastAsia="Times New Roman" w:cstheme="minorHAnsi"/>
                <w:color w:val="000000"/>
                <w:sz w:val="18"/>
                <w:szCs w:val="18"/>
                <w:lang w:eastAsia="es-ES"/>
              </w:rPr>
              <w:t>Fomento, Articulación del Territorio</w:t>
            </w:r>
            <w:r w:rsidRPr="00EF1B60">
              <w:rPr>
                <w:rFonts w:eastAsia="Times New Roman" w:cstheme="minorHAnsi"/>
                <w:color w:val="000000"/>
                <w:sz w:val="18"/>
                <w:szCs w:val="18"/>
                <w:lang w:eastAsia="es-ES"/>
              </w:rPr>
              <w:t xml:space="preserve"> y Vivienda</w:t>
            </w:r>
            <w:r>
              <w:rPr>
                <w:rFonts w:eastAsia="Times New Roman" w:cstheme="minorHAnsi"/>
                <w:color w:val="000000"/>
                <w:sz w:val="18"/>
                <w:szCs w:val="18"/>
                <w:lang w:eastAsia="es-ES"/>
              </w:rPr>
              <w:t>.</w:t>
            </w:r>
          </w:p>
        </w:tc>
      </w:tr>
    </w:tbl>
    <w:p w:rsidR="00F14DB4" w:rsidRDefault="00F14DB4" w:rsidP="00F14DB4"/>
    <w:p w:rsidR="00F14DB4" w:rsidRDefault="00F14DB4" w:rsidP="00F14DB4">
      <w:pPr>
        <w:jc w:val="both"/>
      </w:pPr>
      <w:r>
        <w:t>La distribución del conjunto de actuaciones desde la óptica provincial revela la mayor concentración de estas en Sevilla (24,6% del total andaluz), seguida de Cádiz (19,2%) y Málaga (13,1%). Si se considera la población residente en cada provincia se observa que las provincias de Cádiz (+4,2 p.p.), Huelva (+1,6 p.p.) y Sevilla (+1,5 p.p.), han contabilizado actuaciones por encima de su peso poblacional en la región, Jaén (+0,1 p.p.), Córdoba (+0,9 p.p.) y Almería (-0,9 p.p.) en una proporción similar, mientras que Granada (-1,5 p.p.) y Málaga (-5,9 p.p.) se alejan de las que les corresponde por su peso poblacional. Considerando exclusivamente las actuaciones destinadas al fomento del alquiler y de la venta se constata una distribución parecida aunque con mayor concentración en las provincias de Sevilla (27,6% del total) y Cádiz (20,8%).</w:t>
      </w:r>
    </w:p>
    <w:p w:rsidR="00F14DB4" w:rsidRDefault="00F14DB4" w:rsidP="00F14DB4">
      <w:pPr>
        <w:jc w:val="both"/>
      </w:pPr>
      <w:r>
        <w:t>El balance de actuaciones que ofrece la Consejería señala los objetivos y el nivel de cumplimiento de los mismos para los distintos planes (excepto para el período 2013-2015). En concreto, el nivel de cumplimiento de los objetivos previstos en cada plan para alquiler y venta de vivienda protegida se sitúa entre el 70,1% del Plan Concertado de Vivienda y Suelo 2008-2012 y el 127,7% del Plan VIVE 2020-2030 en los ejercicios 2020 y 2021. Para el agregado de actuaciones de alquiler y venta en los planes implementados entre 1999 y 2021 el nivel de cumplimiento se estima en el 95,9%.</w:t>
      </w:r>
    </w:p>
    <w:p w:rsidR="00F14DB4" w:rsidRDefault="00F14DB4" w:rsidP="00F14DB4">
      <w:pPr>
        <w:jc w:val="both"/>
      </w:pPr>
    </w:p>
    <w:p w:rsidR="00F14DB4" w:rsidRDefault="00F14DB4" w:rsidP="00B50276">
      <w:pPr>
        <w:jc w:val="center"/>
      </w:pPr>
      <w:r w:rsidRPr="000C299C">
        <w:rPr>
          <w:noProof/>
          <w:lang w:eastAsia="es-ES"/>
        </w:rPr>
        <w:lastRenderedPageBreak/>
        <w:drawing>
          <wp:inline distT="0" distB="0" distL="0" distR="0" wp14:anchorId="7AA599F1" wp14:editId="3E0FA1D2">
            <wp:extent cx="4572000" cy="3429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14DB4" w:rsidRDefault="00F14DB4" w:rsidP="00F14DB4">
      <w:pPr>
        <w:jc w:val="both"/>
      </w:pPr>
      <w:r>
        <w:t>Centrando el análisis en las actuaciones de alquiler y venta desde la óptica territorial, se constata la trayectoria ascendente, en relación al número de viviendas implicadas, en los planes de vivienda que crecen de manera sostenida entre el período 1999-2002 y el 2008-2012, de 63 mil a 106 mil. La excepción del período son las actuaciones contabilizadas entre 2013 y 2015, por debajo de 4 mil, período en el que los ajustes presupuestarios dejaron paralizaron las políticas de vivienda.</w:t>
      </w:r>
    </w:p>
    <w:p w:rsidR="00F14DB4" w:rsidRDefault="00F14DB4" w:rsidP="00F14DB4">
      <w:pPr>
        <w:jc w:val="both"/>
      </w:pPr>
      <w:r>
        <w:t>Las políticas destinadas a alquiler y venta de vivienda protegida revelan la mayor concentración relativa de las actuaciones en vivienda en las capitales de provincia y entre estas en las de Málaga y Granada. En concreto, en el período analizado (1999-2021), las capitales de provincia concentraron el 37,5% de las actuaciones mencionadas en Andalucía, unos 7,9 p.p. por encima de su peso poblacional en la región. En las ciudades (no capitales) con más de 100 mil habitantes se localizaron el 10,5% de las actuaciones en venta y alquiler, unos 3,4 p.p. más que su peso poblacional, mientras que en el resto de municipios, que suponen el 63,2% de la población, las actuaciones conforman el 52,0% de las efectuadas en Andalucía.</w:t>
      </w:r>
    </w:p>
    <w:p w:rsidR="00F14DB4" w:rsidRDefault="00F14DB4" w:rsidP="00F14DB4">
      <w:pPr>
        <w:jc w:val="both"/>
      </w:pPr>
      <w:r>
        <w:t>Examinando el papel de las capitales de provincia destaca la fuerte concentración de las actuaciones en vivienda (alquiler y venta), en relación con su peso poblacional en la provincia, en las ciudades de Málaga, 67,3% del total de acciones y 30,6 p.p. por encima de su peso poblacional, Granada (43,8% y 17,0 p.p.), Jaén (29,1% y 11,5 p.p.) y Córdoba (51,2% y 10 p.p.).</w:t>
      </w:r>
    </w:p>
    <w:p w:rsidR="00F14DB4" w:rsidRDefault="00F14DB4" w:rsidP="00F14DB4">
      <w:pPr>
        <w:jc w:val="both"/>
      </w:pPr>
    </w:p>
    <w:p w:rsidR="00F14DB4" w:rsidRDefault="00F14DB4" w:rsidP="00F14DB4">
      <w:pPr>
        <w:jc w:val="center"/>
      </w:pPr>
      <w:r w:rsidRPr="00BD5E24">
        <w:rPr>
          <w:noProof/>
          <w:lang w:eastAsia="es-ES"/>
        </w:rPr>
        <w:lastRenderedPageBreak/>
        <w:drawing>
          <wp:inline distT="0" distB="0" distL="0" distR="0" wp14:anchorId="78BFC516" wp14:editId="6FF8C7FD">
            <wp:extent cx="4572000" cy="3429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14DB4" w:rsidRDefault="00F14DB4" w:rsidP="00F14DB4">
      <w:pPr>
        <w:jc w:val="both"/>
      </w:pPr>
      <w:r>
        <w:t xml:space="preserve">Una mayor desagregación por actuaciones y municipios se dispone para los dos planes con mayor repercusión implementados. En concreto, en el primer caso, en el Plan Concertado de Vivienda y Suelo 2008-2012 (62.721 actuaciones de alquiler y 43.173 de venta), en las capitales de provincia (28,6% de peso poblacional en Andalucía), se localizaron el 43,9% de las actuaciones destinadas al alquiler y el 30,2% de las destinadas a la venta, en los municipios (no capitalinos) con más de 100 mil habitantes (7,1% de la población de la región) se situaron el 7,5% del alquiler y el 17,6% de las ventas, en los de más de 75 mil y menos de 100 mil (8,0% de la población), el 13,2% del alquiler y el 3,2% de la venta, en el resto de municipios (56,3% de la población) el 35,3% del alquiler y el 48,3% de la venta. </w:t>
      </w:r>
    </w:p>
    <w:p w:rsidR="00F14DB4" w:rsidRDefault="00F14DB4" w:rsidP="00F14DB4">
      <w:pPr>
        <w:jc w:val="both"/>
      </w:pPr>
      <w:r>
        <w:t xml:space="preserve">En el segundo caso, en el </w:t>
      </w:r>
      <w:r w:rsidRPr="006366EC">
        <w:t>Plan de Vivienda y Reha</w:t>
      </w:r>
      <w:r>
        <w:t xml:space="preserve">bilitación de Andalucía 2016-2019 (84.368 actuaciones de alquiler y 13.329 de venta), en las capitales de provincia </w:t>
      </w:r>
      <w:r w:rsidRPr="00CA301D">
        <w:t>se sitúan el 42,2% de las actuaciones destinadas al alquiler y el 23,8% de las destinadas a la venta, en los municipios (no capitalinos) con más de 100 mil habitantes el 9,4% del alquiler y el 17,8% de las ventas, en los de más de 75 mil y menos de 100 mil el 7,5% del alquiler y el 5,9% de la venta, en el resto de municipios el 40,9% del alquiler y el 52,5% de la venta</w:t>
      </w:r>
      <w:r>
        <w:t>.</w:t>
      </w:r>
    </w:p>
    <w:p w:rsidR="00F14DB4" w:rsidRDefault="00F14DB4" w:rsidP="00F14DB4">
      <w:pPr>
        <w:jc w:val="both"/>
      </w:pPr>
      <w:r>
        <w:t>Un último enfoque, para examinar el esfuerzo en la provisión de vivienda protegida, es el que se deriva de contabilizar exclusivamente las nuevas viviendas construidas para incrementar el parque de vivienda protegida y cuyo destino sea la venta o el alquiler. Así, entre 1999 y 2021 se contabilizaron 204.979 nuevas viviendas protegidas en Andalucía, de las que 167.623 (81,8%) se destinaron a la venta y 37.356 (18,2%) al alquiler. Destaca que, en la construcción de nuevas viviendas protegidas, se ha producido una notable reducción entre la primera parte del período (1999-2007), con más de 137 mil viviendas, y la segunda parte (2008-2021), con unas 68 mil.</w:t>
      </w:r>
    </w:p>
    <w:p w:rsidR="00F14DB4" w:rsidRDefault="00F14DB4" w:rsidP="00F14DB4">
      <w:pPr>
        <w:jc w:val="both"/>
      </w:pPr>
      <w:r>
        <w:t>La distribución por provincias revela que casi un tercio de las nuevas viviendas protegidas construidas se provisionaron en Sevilla (64.010; 31,2% del total andaluz), seguidas de Cádiz (40.139; 19,6%) y Málaga (22.378; 10,9%). Distinguiendo entre las destinadas a la venta y el alquiler, en ambos casos la mayor provisión se alcanzó en Sevilla y Cádiz.</w:t>
      </w:r>
    </w:p>
    <w:p w:rsidR="00F14DB4" w:rsidRDefault="00F14DB4" w:rsidP="00F14DB4">
      <w:pPr>
        <w:jc w:val="both"/>
      </w:pPr>
    </w:p>
    <w:p w:rsidR="00F14DB4" w:rsidRDefault="00F14DB4" w:rsidP="00F14DB4">
      <w:pPr>
        <w:jc w:val="center"/>
      </w:pPr>
      <w:r w:rsidRPr="00F14DB4">
        <w:rPr>
          <w:noProof/>
          <w:lang w:eastAsia="es-ES"/>
        </w:rPr>
        <w:drawing>
          <wp:inline distT="0" distB="0" distL="0" distR="0">
            <wp:extent cx="4572000" cy="3429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F14DB4" w:rsidRDefault="00F14DB4" w:rsidP="00F14DB4">
      <w:pPr>
        <w:jc w:val="both"/>
      </w:pPr>
      <w:r>
        <w:t>Una vez examinadas las actuaciones en materia de vivienda efectuadas en Andalucía en el período 1999-2021 se pueden extraer las siguientes conclusiones:</w:t>
      </w:r>
    </w:p>
    <w:p w:rsidR="00F14DB4" w:rsidRDefault="00F14DB4" w:rsidP="00F14DB4">
      <w:pPr>
        <w:pStyle w:val="Prrafodelista"/>
        <w:numPr>
          <w:ilvl w:val="0"/>
          <w:numId w:val="4"/>
        </w:numPr>
        <w:jc w:val="both"/>
      </w:pPr>
      <w:r>
        <w:t>A lo largo del período, a pesar de que el problema de la vivienda se ha ido acentuando, se ha producido una disminución de las actuaciones en vivienda protegida. No obstante, las actuaciones destinadas exclusivamente a la venta y al alquiler si se han mantenido a lo largo del período.</w:t>
      </w:r>
    </w:p>
    <w:p w:rsidR="00F14DB4" w:rsidRDefault="00F14DB4" w:rsidP="00F14DB4">
      <w:pPr>
        <w:pStyle w:val="Prrafodelista"/>
        <w:numPr>
          <w:ilvl w:val="0"/>
          <w:numId w:val="4"/>
        </w:numPr>
        <w:jc w:val="both"/>
      </w:pPr>
      <w:r>
        <w:t>En las actuaciones formalizadas tenían un mayor peso o importancia las actuaciones de venta en la primera mitad del período analizado frente al mayor peso que han adquirido las de alquiler en los últimos años. En concreto, el alquiler ha pasado de representar el 14% de las actuaciones en el Plan 1999-2002 al 86% en el 2016-2019.</w:t>
      </w:r>
    </w:p>
    <w:p w:rsidR="00F14DB4" w:rsidRDefault="00F14DB4" w:rsidP="00F14DB4">
      <w:pPr>
        <w:pStyle w:val="Prrafodelista"/>
        <w:numPr>
          <w:ilvl w:val="0"/>
          <w:numId w:val="4"/>
        </w:numPr>
        <w:jc w:val="both"/>
      </w:pPr>
      <w:r>
        <w:t>El mayor peso de las actuaciones se localiza en las capitales de provincia y en los municipios de más de 100 mil habitantes.</w:t>
      </w:r>
    </w:p>
    <w:p w:rsidR="00F14DB4" w:rsidRDefault="00F14DB4" w:rsidP="00F14DB4">
      <w:pPr>
        <w:pStyle w:val="Prrafodelista"/>
        <w:numPr>
          <w:ilvl w:val="0"/>
          <w:numId w:val="4"/>
        </w:numPr>
        <w:jc w:val="both"/>
      </w:pPr>
      <w:r>
        <w:t>Considerando el peso poblacional, se observa un déficit relevante de las actuaciones realizadas en las provincias de Málaga y Granada.</w:t>
      </w:r>
    </w:p>
    <w:p w:rsidR="00F14DB4" w:rsidRDefault="00F14DB4" w:rsidP="00F14DB4">
      <w:pPr>
        <w:pStyle w:val="Prrafodelista"/>
        <w:numPr>
          <w:ilvl w:val="0"/>
          <w:numId w:val="4"/>
        </w:numPr>
        <w:jc w:val="both"/>
      </w:pPr>
      <w:r>
        <w:t>En la construcción de nueva vivienda protegida, se constatan dos aspectos: primero; que la vivienda nueva para el alquiler sólo ha supuesto en torno a un 20% de la nueva dotación de vivienda protegida en las dos últimas décadas, y segundo; que la aportación de viviendas nuevas ha decrecido sustancialmente desde 2012.</w:t>
      </w:r>
    </w:p>
    <w:p w:rsidR="00F14DB4" w:rsidRDefault="00F14DB4" w:rsidP="00F14DB4">
      <w:pPr>
        <w:pStyle w:val="Prrafodelista"/>
        <w:numPr>
          <w:ilvl w:val="0"/>
          <w:numId w:val="4"/>
        </w:numPr>
        <w:jc w:val="both"/>
      </w:pPr>
      <w:r>
        <w:t>La mayor o menor intensidad en cada período de las actuaciones sobre la vivienda están directamente relacionadas con los Planes de Vivienda desarrollados por la Administración Central y de los que se nutren los planes implementados por la Comunidad Autónoma de Andalucía Como ejemplo basta comprobar las actuaciones realizadas en el período 2013-2015, en el que no se disponía del marco estatal, que se redujeron de manera radical.</w:t>
      </w:r>
    </w:p>
    <w:p w:rsidR="00E53F3F" w:rsidRDefault="00E53F3F"/>
    <w:p w:rsidR="00E53F3F" w:rsidRPr="00E53F3F" w:rsidRDefault="00E53F3F">
      <w:pPr>
        <w:rPr>
          <w:b/>
        </w:rPr>
      </w:pPr>
      <w:r w:rsidRPr="00E53F3F">
        <w:rPr>
          <w:b/>
        </w:rPr>
        <w:lastRenderedPageBreak/>
        <w:t xml:space="preserve">I.3. </w:t>
      </w:r>
      <w:r w:rsidR="00553F64" w:rsidRPr="00B57872">
        <w:rPr>
          <w:b/>
          <w:sz w:val="24"/>
          <w:szCs w:val="24"/>
        </w:rPr>
        <w:t xml:space="preserve">Casos de éxito </w:t>
      </w:r>
      <w:r w:rsidR="00553F64">
        <w:rPr>
          <w:b/>
          <w:sz w:val="24"/>
          <w:szCs w:val="24"/>
        </w:rPr>
        <w:t>de las p</w:t>
      </w:r>
      <w:r w:rsidR="00553F64" w:rsidRPr="00B57872">
        <w:rPr>
          <w:b/>
          <w:sz w:val="24"/>
          <w:szCs w:val="24"/>
        </w:rPr>
        <w:t>olítica</w:t>
      </w:r>
      <w:r w:rsidR="00553F64">
        <w:rPr>
          <w:b/>
          <w:sz w:val="24"/>
          <w:szCs w:val="24"/>
        </w:rPr>
        <w:t>s</w:t>
      </w:r>
      <w:r w:rsidR="00553F64" w:rsidRPr="00B57872">
        <w:rPr>
          <w:b/>
          <w:sz w:val="24"/>
          <w:szCs w:val="24"/>
        </w:rPr>
        <w:t xml:space="preserve"> de vivienda</w:t>
      </w:r>
    </w:p>
    <w:p w:rsidR="00553F64" w:rsidRDefault="00553F64" w:rsidP="00553F64">
      <w:pPr>
        <w:jc w:val="both"/>
      </w:pPr>
      <w:r>
        <w:t xml:space="preserve">Las políticas de vivienda pretenden facilitar el acceso a la misma a un segmento amplio de la población mediante actuaciones encaminadas a la promoción de vivienda a precios y condiciones más asequibles. En particular, se encuentran dirigidas especialmente a aquellos colectivos que por diversas circunstancias, como la edad o por tratarse de grupos de población económicamente vulnerables, presentan mayores dificultades para acceder a una vivienda. </w:t>
      </w:r>
    </w:p>
    <w:p w:rsidR="00553F64" w:rsidRDefault="00553F64" w:rsidP="00553F64">
      <w:pPr>
        <w:jc w:val="both"/>
      </w:pPr>
      <w:r>
        <w:t>El diseño de estas políticas se puede acometer mediante diversas estrategias y medidas que pueden diferir en función de donde pone el foco el esfuerzo realizado desde las Administraciones Públicas en materia de inversión destinada a la política de vivienda y, en concreto, a vivienda social.</w:t>
      </w:r>
    </w:p>
    <w:p w:rsidR="00553F64" w:rsidRDefault="00553F64" w:rsidP="00553F64">
      <w:pPr>
        <w:jc w:val="both"/>
      </w:pPr>
      <w:r>
        <w:t>Así, estas medidas pueden actuar, por un lado, sobre la oferta, tanto ampliándola como mejorando sus condiciones respecto al mercado. Este enfoque comprende las actuaciones dirigidas a impulsar la producción de vivienda social, a</w:t>
      </w:r>
      <w:r w:rsidRPr="001B3929">
        <w:t xml:space="preserve"> </w:t>
      </w:r>
      <w:r>
        <w:t xml:space="preserve">aumentar el parque de viviendas en alquiler, a aplicar cambios normativos, estatales pero también de ámbito autonómico y local, que actúen sobre el mercado, por ejemplo fijando precios regulados o bien obligando o incentivando a que los inmuebles vacíos tengan que ser puestos a disposición del alquiler, etc. </w:t>
      </w:r>
    </w:p>
    <w:p w:rsidR="00553F64" w:rsidRDefault="00553F64" w:rsidP="00553F64">
      <w:pPr>
        <w:jc w:val="both"/>
      </w:pPr>
      <w:r>
        <w:t xml:space="preserve">Por otra parte, atendiendo a la demanda, las iniciativas públicas pueden articularse a través de incentivos que faciliten el acceso a las viviendas o a su financiación para determinados colectivos, como elevar el gasto </w:t>
      </w:r>
      <w:r>
        <w:rPr>
          <w:rFonts w:eastAsia="Times New Roman" w:cstheme="minorHAnsi"/>
          <w:bCs/>
          <w:kern w:val="36"/>
          <w:lang w:eastAsia="es-ES"/>
        </w:rPr>
        <w:t>destinado</w:t>
      </w:r>
      <w:r>
        <w:t xml:space="preserve"> a </w:t>
      </w:r>
      <w:r>
        <w:rPr>
          <w:rFonts w:eastAsia="Times New Roman" w:cstheme="minorHAnsi"/>
          <w:bCs/>
          <w:kern w:val="36"/>
          <w:lang w:eastAsia="es-ES"/>
        </w:rPr>
        <w:t>transferencias y ayudas directas para las familias</w:t>
      </w:r>
      <w:r>
        <w:t xml:space="preserve">, la concesión de avales o subvenciones a los tipos de interés, la aplicación de deducciones fiscales, etc. </w:t>
      </w:r>
    </w:p>
    <w:p w:rsidR="00553F64" w:rsidRDefault="00553F64" w:rsidP="00553F64">
      <w:pPr>
        <w:jc w:val="both"/>
        <w:rPr>
          <w:rFonts w:eastAsia="Times New Roman" w:cstheme="minorHAnsi"/>
          <w:bCs/>
          <w:kern w:val="36"/>
          <w:lang w:eastAsia="es-ES"/>
        </w:rPr>
      </w:pPr>
      <w:r>
        <w:t>Desde una perspectiva social, el éxito de la aplicación de medidas como las señaladas en materia de vivienda y la identificación de buenas prácticas</w:t>
      </w:r>
      <w:r w:rsidRPr="00944743">
        <w:t xml:space="preserve"> </w:t>
      </w:r>
      <w:r>
        <w:t>en cada ámbito territorial, debe concretarse a partir de los resultados obtenidos, mediante diversos indicadores</w:t>
      </w:r>
      <w:r w:rsidRPr="00187F63">
        <w:t xml:space="preserve"> </w:t>
      </w:r>
      <w:r>
        <w:t>absolutos o relativos que permitan aproximar su alcance.</w:t>
      </w:r>
    </w:p>
    <w:p w:rsidR="00553F64" w:rsidRDefault="00553F64" w:rsidP="00553F64">
      <w:pPr>
        <w:jc w:val="both"/>
      </w:pPr>
      <w:r>
        <w:t xml:space="preserve">En primer lugar, atendiendo a la política estatal y autonómica de acceso a la vivienda, conviene reseñar que las políticas en el ámbito nacional se centraron, muy especialmente en la década de los 80, en fomentar la adquisición de vivienda protegida, fundamentalmente en propiedad. Durante estos años, se promovió la construcción de un importante parque de vivienda protegida con condiciones de acceso más ventajosas para las familias, tanto en términos de precio como de financiación, medidas que se hicieron extensibles a las Comunidades Autónomas. Esta política de vivienda, tuvo cierto éxito para facilitar el acceso a la vivienda y, si bien mostraba un claro componente social (en particular a través de las denominadas </w:t>
      </w:r>
      <w:r w:rsidRPr="00426170">
        <w:t>viviendas de promoción pública</w:t>
      </w:r>
      <w:r>
        <w:t>), también permitió el acceso a vivienda a amplios segmentos de población de rentas medias.</w:t>
      </w:r>
    </w:p>
    <w:p w:rsidR="00553F64" w:rsidRDefault="00553F64" w:rsidP="00553F64">
      <w:pPr>
        <w:jc w:val="both"/>
      </w:pPr>
      <w:r>
        <w:t xml:space="preserve">Atendiendo a la etapa más reciente, determinadas CC.AA. han apostado en la última década por incrementar el parque de vivienda social, como se ha reflejado en Andalucía, que lidera el parque tanto en régimen de propiedad como de alquiler en términos absolutos, tras impulsar la promoción y rehabilitación de vivienda destinadas a este fin. Asimismo, en el caso de País Vasco, se apuesta por potenciar el régimen de alquiler, tanto con el impulso a la promoción de vivienda pública como a través de medidas destinadas a poner en uso la vivienda existente en manos privadas, lo que ha contribuido a aumentar la oferta de alquiler a precios competitivos. Prácticas similares, destinadas en su mayor parte a incrementar el mercado de alquiler asequible, también </w:t>
      </w:r>
      <w:r>
        <w:lastRenderedPageBreak/>
        <w:t>se han observado en Cataluña y Madrid, con medidas concretas para tratar de fijar precios del alquiler por debajo del mercado.</w:t>
      </w:r>
    </w:p>
    <w:p w:rsidR="00553F64" w:rsidRDefault="00553F64" w:rsidP="00553F64">
      <w:pPr>
        <w:jc w:val="both"/>
      </w:pPr>
      <w:r>
        <w:t xml:space="preserve">Por tanto, las principales actuaciones para impulsar la vivienda social y asequible en España están relacionadas con el aumento de la oferta disponible mediante la promoción y rehabilitación de vivienda y </w:t>
      </w:r>
      <w:r w:rsidRPr="00635A0D">
        <w:t>la captación de viviendas deshabitadas para movilizar el stock de viviendas vacías</w:t>
      </w:r>
      <w:r w:rsidRPr="0045175A">
        <w:t xml:space="preserve"> del sector privado.</w:t>
      </w:r>
      <w:r>
        <w:t xml:space="preserve"> Además, la intermediación entre </w:t>
      </w:r>
      <w:r w:rsidRPr="009E75EF">
        <w:t>propietarios e inquilinos</w:t>
      </w:r>
      <w:r>
        <w:t>,  la fijación de los precios de las rentas de alquiler vinculándolos con la vivienda protegida o los sistemas de prestaciones para facilitar el pago de las rentas del alquiler son medidas que han contribuido a situar los precios del alquiler asequible por debajo del mercado.</w:t>
      </w:r>
    </w:p>
    <w:p w:rsidR="00553F64" w:rsidRDefault="00553F64" w:rsidP="00553F64">
      <w:pPr>
        <w:pStyle w:val="pb-article-item-iteration"/>
        <w:jc w:val="both"/>
      </w:pPr>
      <w:r>
        <w:rPr>
          <w:rFonts w:asciiTheme="minorHAnsi" w:eastAsiaTheme="minorHAnsi" w:hAnsiTheme="minorHAnsi" w:cstheme="minorBidi"/>
          <w:sz w:val="22"/>
          <w:szCs w:val="22"/>
          <w:lang w:eastAsia="en-US"/>
        </w:rPr>
        <w:t>No obstante, la comparativa con las políticas de vivienda de otros países europeos pone de relieve ciertas diferencias tanto en lo referente a las actuaciones desarrolladas como en los resultados obtenidos, sobre todo en el ámbito de un mercado de vivienda social o asequible de alquiler más amplio y extendido entre la población. Una muestra de ello se obtiene de l</w:t>
      </w:r>
      <w:r w:rsidRPr="00027570">
        <w:rPr>
          <w:rFonts w:asciiTheme="minorHAnsi" w:eastAsiaTheme="minorHAnsi" w:hAnsiTheme="minorHAnsi" w:cstheme="minorBidi"/>
          <w:sz w:val="22"/>
          <w:szCs w:val="22"/>
          <w:lang w:eastAsia="en-US"/>
        </w:rPr>
        <w:t>os indicadores relativos</w:t>
      </w:r>
      <w:r>
        <w:rPr>
          <w:rFonts w:asciiTheme="minorHAnsi" w:eastAsiaTheme="minorHAnsi" w:hAnsiTheme="minorHAnsi" w:cstheme="minorBidi"/>
          <w:sz w:val="22"/>
          <w:szCs w:val="22"/>
          <w:lang w:eastAsia="en-US"/>
        </w:rPr>
        <w:t xml:space="preserve"> que indican </w:t>
      </w:r>
      <w:r w:rsidRPr="00027570">
        <w:rPr>
          <w:rFonts w:asciiTheme="minorHAnsi" w:eastAsiaTheme="minorHAnsi" w:hAnsiTheme="minorHAnsi" w:cstheme="minorBidi"/>
          <w:sz w:val="22"/>
          <w:szCs w:val="22"/>
          <w:lang w:eastAsia="en-US"/>
        </w:rPr>
        <w:t>que</w:t>
      </w:r>
      <w:r>
        <w:rPr>
          <w:rFonts w:asciiTheme="minorHAnsi" w:eastAsiaTheme="minorHAnsi" w:hAnsiTheme="minorHAnsi" w:cstheme="minorBidi"/>
          <w:sz w:val="22"/>
          <w:szCs w:val="22"/>
          <w:lang w:eastAsia="en-US"/>
        </w:rPr>
        <w:t>,</w:t>
      </w:r>
      <w:r w:rsidRPr="00027570">
        <w:rPr>
          <w:rFonts w:asciiTheme="minorHAnsi" w:eastAsiaTheme="minorHAnsi" w:hAnsiTheme="minorHAnsi" w:cstheme="minorBidi"/>
          <w:sz w:val="22"/>
          <w:szCs w:val="22"/>
          <w:lang w:eastAsia="en-US"/>
        </w:rPr>
        <w:t xml:space="preserve"> </w:t>
      </w:r>
      <w:r w:rsidRPr="00A00778">
        <w:rPr>
          <w:rFonts w:asciiTheme="minorHAnsi" w:eastAsiaTheme="minorHAnsi" w:hAnsiTheme="minorHAnsi" w:cstheme="minorBidi"/>
          <w:sz w:val="22"/>
          <w:szCs w:val="22"/>
          <w:lang w:eastAsia="en-US"/>
        </w:rPr>
        <w:t xml:space="preserve">según </w:t>
      </w:r>
      <w:r>
        <w:rPr>
          <w:rFonts w:asciiTheme="minorHAnsi" w:eastAsiaTheme="minorHAnsi" w:hAnsiTheme="minorHAnsi" w:cstheme="minorBidi"/>
          <w:sz w:val="22"/>
          <w:szCs w:val="22"/>
          <w:lang w:eastAsia="en-US"/>
        </w:rPr>
        <w:t xml:space="preserve">los </w:t>
      </w:r>
      <w:r w:rsidRPr="00A00778">
        <w:rPr>
          <w:rFonts w:asciiTheme="minorHAnsi" w:eastAsiaTheme="minorHAnsi" w:hAnsiTheme="minorHAnsi" w:cstheme="minorBidi"/>
          <w:sz w:val="22"/>
          <w:szCs w:val="22"/>
          <w:lang w:eastAsia="en-US"/>
        </w:rPr>
        <w:t>datos del Observatorio de Vivienda y Suelo</w:t>
      </w:r>
      <w:r>
        <w:rPr>
          <w:rFonts w:asciiTheme="minorHAnsi" w:eastAsiaTheme="minorHAnsi" w:hAnsiTheme="minorHAnsi" w:cstheme="minorBidi"/>
          <w:sz w:val="22"/>
          <w:szCs w:val="22"/>
          <w:lang w:eastAsia="en-US"/>
        </w:rPr>
        <w:t xml:space="preserve">, muestran que </w:t>
      </w:r>
      <w:r w:rsidRPr="00027570">
        <w:rPr>
          <w:rFonts w:asciiTheme="minorHAnsi" w:eastAsiaTheme="minorHAnsi" w:hAnsiTheme="minorHAnsi" w:cstheme="minorBidi"/>
          <w:sz w:val="22"/>
          <w:szCs w:val="22"/>
          <w:lang w:eastAsia="en-US"/>
        </w:rPr>
        <w:t xml:space="preserve">el peso de la vivienda social en España se encuentra alejado de los </w:t>
      </w:r>
      <w:r>
        <w:rPr>
          <w:rFonts w:asciiTheme="minorHAnsi" w:eastAsiaTheme="minorHAnsi" w:hAnsiTheme="minorHAnsi" w:cstheme="minorBidi"/>
          <w:sz w:val="22"/>
          <w:szCs w:val="22"/>
          <w:lang w:eastAsia="en-US"/>
        </w:rPr>
        <w:t xml:space="preserve">valores </w:t>
      </w:r>
      <w:r w:rsidRPr="00027570">
        <w:rPr>
          <w:rFonts w:asciiTheme="minorHAnsi" w:eastAsiaTheme="minorHAnsi" w:hAnsiTheme="minorHAnsi" w:cstheme="minorBidi"/>
          <w:sz w:val="22"/>
          <w:szCs w:val="22"/>
          <w:lang w:eastAsia="en-US"/>
        </w:rPr>
        <w:t>de referencia europeos</w:t>
      </w:r>
      <w:r>
        <w:rPr>
          <w:rFonts w:asciiTheme="minorHAnsi" w:eastAsiaTheme="minorHAnsi" w:hAnsiTheme="minorHAnsi" w:cstheme="minorBidi"/>
          <w:sz w:val="22"/>
          <w:szCs w:val="22"/>
          <w:lang w:eastAsia="en-US"/>
        </w:rPr>
        <w:t xml:space="preserve"> (9,3% en la media de la UE)</w:t>
      </w:r>
      <w:r w:rsidRPr="00027570">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Así, l</w:t>
      </w:r>
      <w:r w:rsidRPr="00A00778">
        <w:rPr>
          <w:rFonts w:asciiTheme="minorHAnsi" w:eastAsiaTheme="minorHAnsi" w:hAnsiTheme="minorHAnsi" w:cstheme="minorBidi"/>
          <w:sz w:val="22"/>
          <w:szCs w:val="22"/>
          <w:lang w:eastAsia="en-US"/>
        </w:rPr>
        <w:t xml:space="preserve">a vivienda social en España representa </w:t>
      </w:r>
      <w:r>
        <w:rPr>
          <w:rFonts w:asciiTheme="minorHAnsi" w:eastAsiaTheme="minorHAnsi" w:hAnsiTheme="minorHAnsi" w:cstheme="minorBidi"/>
          <w:sz w:val="22"/>
          <w:szCs w:val="22"/>
          <w:lang w:eastAsia="en-US"/>
        </w:rPr>
        <w:t>el</w:t>
      </w:r>
      <w:r w:rsidRPr="00A00778">
        <w:rPr>
          <w:rFonts w:asciiTheme="minorHAnsi" w:eastAsiaTheme="minorHAnsi" w:hAnsiTheme="minorHAnsi" w:cstheme="minorBidi"/>
          <w:sz w:val="22"/>
          <w:szCs w:val="22"/>
          <w:lang w:eastAsia="en-US"/>
        </w:rPr>
        <w:t xml:space="preserve"> 2,5% </w:t>
      </w:r>
      <w:r>
        <w:rPr>
          <w:rFonts w:asciiTheme="minorHAnsi" w:eastAsiaTheme="minorHAnsi" w:hAnsiTheme="minorHAnsi" w:cstheme="minorBidi"/>
          <w:sz w:val="22"/>
          <w:szCs w:val="22"/>
          <w:lang w:eastAsia="en-US"/>
        </w:rPr>
        <w:t>d</w:t>
      </w:r>
      <w:r w:rsidRPr="00A00778">
        <w:rPr>
          <w:rFonts w:asciiTheme="minorHAnsi" w:eastAsiaTheme="minorHAnsi" w:hAnsiTheme="minorHAnsi" w:cstheme="minorBidi"/>
          <w:sz w:val="22"/>
          <w:szCs w:val="22"/>
          <w:lang w:eastAsia="en-US"/>
        </w:rPr>
        <w:t>e</w:t>
      </w:r>
      <w:r>
        <w:rPr>
          <w:rFonts w:asciiTheme="minorHAnsi" w:eastAsiaTheme="minorHAnsi" w:hAnsiTheme="minorHAnsi" w:cstheme="minorBidi"/>
          <w:sz w:val="22"/>
          <w:szCs w:val="22"/>
          <w:lang w:eastAsia="en-US"/>
        </w:rPr>
        <w:t>l total de las viviendas principales</w:t>
      </w:r>
      <w:r w:rsidRPr="00A0077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muy por debajo del </w:t>
      </w:r>
      <w:r w:rsidRPr="00A00778">
        <w:rPr>
          <w:rFonts w:asciiTheme="minorHAnsi" w:eastAsiaTheme="minorHAnsi" w:hAnsiTheme="minorHAnsi" w:cstheme="minorBidi"/>
          <w:sz w:val="22"/>
          <w:szCs w:val="22"/>
          <w:lang w:eastAsia="en-US"/>
        </w:rPr>
        <w:t>30% de Países Bajos,</w:t>
      </w:r>
      <w:r>
        <w:rPr>
          <w:rFonts w:asciiTheme="minorHAnsi" w:eastAsiaTheme="minorHAnsi" w:hAnsiTheme="minorHAnsi" w:cstheme="minorBidi"/>
          <w:sz w:val="22"/>
          <w:szCs w:val="22"/>
          <w:lang w:eastAsia="en-US"/>
        </w:rPr>
        <w:t xml:space="preserve"> </w:t>
      </w:r>
      <w:r w:rsidRPr="00A00778">
        <w:rPr>
          <w:rFonts w:asciiTheme="minorHAnsi" w:eastAsiaTheme="minorHAnsi" w:hAnsiTheme="minorHAnsi" w:cstheme="minorBidi"/>
          <w:sz w:val="22"/>
          <w:szCs w:val="22"/>
          <w:lang w:eastAsia="en-US"/>
        </w:rPr>
        <w:t xml:space="preserve">el 24% de Austria, </w:t>
      </w:r>
      <w:r>
        <w:rPr>
          <w:rFonts w:asciiTheme="minorHAnsi" w:eastAsiaTheme="minorHAnsi" w:hAnsiTheme="minorHAnsi" w:cstheme="minorBidi"/>
          <w:sz w:val="22"/>
          <w:szCs w:val="22"/>
          <w:lang w:eastAsia="en-US"/>
        </w:rPr>
        <w:t>el 20,9% de</w:t>
      </w:r>
      <w:r w:rsidRPr="00A00778">
        <w:rPr>
          <w:rFonts w:asciiTheme="minorHAnsi" w:eastAsiaTheme="minorHAnsi" w:hAnsiTheme="minorHAnsi" w:cstheme="minorBidi"/>
          <w:sz w:val="22"/>
          <w:szCs w:val="22"/>
          <w:lang w:eastAsia="en-US"/>
        </w:rPr>
        <w:t xml:space="preserve"> Dinamarca </w:t>
      </w:r>
      <w:r>
        <w:rPr>
          <w:rFonts w:asciiTheme="minorHAnsi" w:eastAsiaTheme="minorHAnsi" w:hAnsiTheme="minorHAnsi" w:cstheme="minorBidi"/>
          <w:sz w:val="22"/>
          <w:szCs w:val="22"/>
          <w:lang w:eastAsia="en-US"/>
        </w:rPr>
        <w:t xml:space="preserve">o el 19% de Suecia. Asimismo, ponderando por la población, el número de viviendas sociales por cada 100 habitantes se sitúa en España en 0,9, frente a 3,8 que registra en el promedio de la UE. Estas cifras son inferiores a las que presentan </w:t>
      </w:r>
      <w:r w:rsidRPr="00A00778">
        <w:rPr>
          <w:rFonts w:asciiTheme="minorHAnsi" w:eastAsiaTheme="minorHAnsi" w:hAnsiTheme="minorHAnsi" w:cstheme="minorBidi"/>
          <w:sz w:val="22"/>
          <w:szCs w:val="22"/>
          <w:lang w:eastAsia="en-US"/>
        </w:rPr>
        <w:t>Pa</w:t>
      </w:r>
      <w:r>
        <w:rPr>
          <w:rFonts w:asciiTheme="minorHAnsi" w:eastAsiaTheme="minorHAnsi" w:hAnsiTheme="minorHAnsi" w:cstheme="minorBidi"/>
          <w:sz w:val="22"/>
          <w:szCs w:val="22"/>
          <w:lang w:eastAsia="en-US"/>
        </w:rPr>
        <w:t xml:space="preserve">íses Bajos (12,5), </w:t>
      </w:r>
      <w:r w:rsidRPr="00A00778">
        <w:rPr>
          <w:rFonts w:asciiTheme="minorHAnsi" w:eastAsiaTheme="minorHAnsi" w:hAnsiTheme="minorHAnsi" w:cstheme="minorBidi"/>
          <w:sz w:val="22"/>
          <w:szCs w:val="22"/>
          <w:lang w:eastAsia="en-US"/>
        </w:rPr>
        <w:t>Austria</w:t>
      </w:r>
      <w:r>
        <w:rPr>
          <w:rFonts w:asciiTheme="minorHAnsi" w:eastAsiaTheme="minorHAnsi" w:hAnsiTheme="minorHAnsi" w:cstheme="minorBidi"/>
          <w:sz w:val="22"/>
          <w:szCs w:val="22"/>
          <w:lang w:eastAsia="en-US"/>
        </w:rPr>
        <w:t xml:space="preserve"> (10,3)</w:t>
      </w:r>
      <w:r w:rsidRPr="00A00778">
        <w:rPr>
          <w:rFonts w:asciiTheme="minorHAnsi" w:eastAsiaTheme="minorHAnsi" w:hAnsiTheme="minorHAnsi" w:cstheme="minorBidi"/>
          <w:sz w:val="22"/>
          <w:szCs w:val="22"/>
          <w:lang w:eastAsia="en-US"/>
        </w:rPr>
        <w:t>, Dinamarca</w:t>
      </w:r>
      <w:r>
        <w:rPr>
          <w:rFonts w:asciiTheme="minorHAnsi" w:eastAsiaTheme="minorHAnsi" w:hAnsiTheme="minorHAnsi" w:cstheme="minorBidi"/>
          <w:sz w:val="22"/>
          <w:szCs w:val="22"/>
          <w:lang w:eastAsia="en-US"/>
        </w:rPr>
        <w:t xml:space="preserve"> (9,5), Suecia (8) y Reino Unido (7,3).</w:t>
      </w:r>
      <w:r w:rsidRPr="00E40457">
        <w:t xml:space="preserve"> </w:t>
      </w:r>
    </w:p>
    <w:p w:rsidR="00553F64" w:rsidRDefault="00553F64" w:rsidP="00553F64">
      <w:pPr>
        <w:pStyle w:val="pb-article-item-iteration"/>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Entre las prácticas destacadas de estos países de referencia que </w:t>
      </w:r>
      <w:r w:rsidRPr="00EC778D">
        <w:rPr>
          <w:rFonts w:asciiTheme="minorHAnsi" w:eastAsiaTheme="minorHAnsi" w:hAnsiTheme="minorHAnsi" w:cstheme="minorBidi"/>
          <w:sz w:val="22"/>
          <w:szCs w:val="22"/>
          <w:lang w:eastAsia="en-US"/>
        </w:rPr>
        <w:t>lideran la vivienda social y asequible en Europa</w:t>
      </w:r>
      <w:r>
        <w:rPr>
          <w:rFonts w:asciiTheme="minorHAnsi" w:eastAsiaTheme="minorHAnsi" w:hAnsiTheme="minorHAnsi" w:cstheme="minorBidi"/>
          <w:sz w:val="22"/>
          <w:szCs w:val="22"/>
          <w:lang w:eastAsia="en-US"/>
        </w:rPr>
        <w:t xml:space="preserve"> cabe reseñar especialmente que se encuentran destinadas a un grupo muy amplio de beneficiarios, con medidas universales de acceso a la vivienda en Suecia, Dinamarca y Países Bajos o con requisitos muy laxos de acceso en términos de renta en Austria. Además, el fuerte impulso de la colaboración público-privada, tanto para la financiación de los proyectos como para la gestión de la vivienda de alquiler asequible, con un papel destacado de agentes como las Asociaciones de Vivienda (Austria, Dinamarca y Reino Unido),</w:t>
      </w:r>
      <w:r w:rsidRPr="00A22DC6">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cooperativas de vivienda (Suecia) o empresas de gestión de alquiler (Países Bajos). Asimismo, los límites a la renta del alquiler se establecen en función de criterios como los costes de producción de la vivienda, como en Austria y Dinamarca valor de la propiedad y la media de salarios de la zona (Reino Unido). También se pueden añadir medidas adicionales como implementar planes de gasto muy relevantes destinados a estas políticas de vivienda, como en Austria, cuya financiación recae en gran medida sobre los trabajadores mediante cotizaciones al subsidio de vivienda, y las iniciativas para aprovechar inmuebles de uso no residencial para convertirlos en vivienda asequible (Países Bajos).</w:t>
      </w:r>
    </w:p>
    <w:p w:rsidR="00553F64" w:rsidRDefault="00553F64" w:rsidP="00553F64">
      <w:pPr>
        <w:pStyle w:val="pb-article-item-iteration"/>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Desde una perspectiva de conjunto, además de las señaladas, también pueden contribuir a estimular la oferta y la demanda medidas </w:t>
      </w:r>
      <w:r w:rsidRPr="00A22DC6">
        <w:rPr>
          <w:rFonts w:asciiTheme="minorHAnsi" w:eastAsiaTheme="minorHAnsi" w:hAnsiTheme="minorHAnsi" w:cstheme="minorBidi"/>
          <w:sz w:val="22"/>
          <w:szCs w:val="22"/>
          <w:lang w:eastAsia="en-US"/>
        </w:rPr>
        <w:t>como el cumplimiento de un porcentaje de reserva de suelo destinado a vivienda social o protegida de alquiler</w:t>
      </w:r>
      <w:r>
        <w:rPr>
          <w:rFonts w:asciiTheme="minorHAnsi" w:eastAsiaTheme="minorHAnsi" w:hAnsiTheme="minorHAnsi" w:cstheme="minorBidi"/>
          <w:sz w:val="22"/>
          <w:szCs w:val="22"/>
          <w:lang w:eastAsia="en-US"/>
        </w:rPr>
        <w:t>,</w:t>
      </w:r>
      <w:r w:rsidRPr="00A22DC6">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d</w:t>
      </w:r>
      <w:r w:rsidRPr="00A22DC6">
        <w:rPr>
          <w:rFonts w:asciiTheme="minorHAnsi" w:eastAsiaTheme="minorHAnsi" w:hAnsiTheme="minorHAnsi" w:cstheme="minorBidi"/>
          <w:sz w:val="22"/>
          <w:szCs w:val="22"/>
          <w:lang w:eastAsia="en-US"/>
        </w:rPr>
        <w:t>esarrollar un marco fiscal favorable a la vivienda asequible</w:t>
      </w:r>
      <w:r>
        <w:rPr>
          <w:rFonts w:asciiTheme="minorHAnsi" w:eastAsiaTheme="minorHAnsi" w:hAnsiTheme="minorHAnsi" w:cstheme="minorBidi"/>
          <w:sz w:val="22"/>
          <w:szCs w:val="22"/>
          <w:lang w:eastAsia="en-US"/>
        </w:rPr>
        <w:t xml:space="preserve">, con </w:t>
      </w:r>
      <w:r w:rsidRPr="005038F5">
        <w:rPr>
          <w:rFonts w:asciiTheme="minorHAnsi" w:eastAsiaTheme="minorHAnsi" w:hAnsiTheme="minorHAnsi" w:cstheme="minorBidi"/>
          <w:sz w:val="22"/>
          <w:szCs w:val="22"/>
          <w:lang w:eastAsia="en-US"/>
        </w:rPr>
        <w:t>incentivos fiscales y medidas de apoyo para fomentar la oferta de viviendas en alquiler asequible</w:t>
      </w:r>
      <w:r>
        <w:rPr>
          <w:rFonts w:asciiTheme="minorHAnsi" w:eastAsiaTheme="minorHAnsi" w:hAnsiTheme="minorHAnsi" w:cstheme="minorBidi"/>
          <w:sz w:val="22"/>
          <w:szCs w:val="22"/>
          <w:lang w:eastAsia="en-US"/>
        </w:rPr>
        <w:t xml:space="preserve"> y una reducción de</w:t>
      </w:r>
      <w:r w:rsidRPr="005038F5">
        <w:rPr>
          <w:rFonts w:asciiTheme="minorHAnsi" w:eastAsiaTheme="minorHAnsi" w:hAnsiTheme="minorHAnsi" w:cstheme="minorBidi"/>
          <w:sz w:val="22"/>
          <w:szCs w:val="22"/>
          <w:lang w:eastAsia="en-US"/>
        </w:rPr>
        <w:t xml:space="preserve"> la carga fiscal destin</w:t>
      </w:r>
      <w:r>
        <w:rPr>
          <w:rFonts w:asciiTheme="minorHAnsi" w:eastAsiaTheme="minorHAnsi" w:hAnsiTheme="minorHAnsi" w:cstheme="minorBidi"/>
          <w:sz w:val="22"/>
          <w:szCs w:val="22"/>
          <w:lang w:eastAsia="en-US"/>
        </w:rPr>
        <w:t>ada</w:t>
      </w:r>
      <w:r w:rsidRPr="005038F5">
        <w:rPr>
          <w:rFonts w:asciiTheme="minorHAnsi" w:eastAsiaTheme="minorHAnsi" w:hAnsiTheme="minorHAnsi" w:cstheme="minorBidi"/>
          <w:sz w:val="22"/>
          <w:szCs w:val="22"/>
          <w:lang w:eastAsia="en-US"/>
        </w:rPr>
        <w:t xml:space="preserve"> a la vivienda social</w:t>
      </w:r>
      <w:r>
        <w:rPr>
          <w:rFonts w:asciiTheme="minorHAnsi" w:eastAsiaTheme="minorHAnsi" w:hAnsiTheme="minorHAnsi" w:cstheme="minorBidi"/>
          <w:sz w:val="22"/>
          <w:szCs w:val="22"/>
          <w:lang w:eastAsia="en-US"/>
        </w:rPr>
        <w:t>, y establecer condiciones de financiación favorables para la promoción y para el acceso a este tipo de inmuebles</w:t>
      </w:r>
      <w:r w:rsidRPr="005038F5">
        <w:rPr>
          <w:rFonts w:asciiTheme="minorHAnsi" w:eastAsiaTheme="minorHAnsi" w:hAnsiTheme="minorHAnsi" w:cstheme="minorBidi"/>
          <w:sz w:val="22"/>
          <w:szCs w:val="22"/>
          <w:lang w:eastAsia="en-US"/>
        </w:rPr>
        <w:t>.</w:t>
      </w:r>
    </w:p>
    <w:p w:rsidR="00307D76" w:rsidRDefault="00553F64" w:rsidP="00307D76">
      <w:pPr>
        <w:pStyle w:val="pb-article-item-iteration"/>
        <w:jc w:val="both"/>
        <w:rPr>
          <w:rFonts w:asciiTheme="minorHAnsi" w:eastAsiaTheme="minorHAnsi" w:hAnsiTheme="minorHAnsi" w:cstheme="minorBidi"/>
          <w:sz w:val="22"/>
          <w:szCs w:val="22"/>
          <w:lang w:eastAsia="en-US"/>
        </w:rPr>
        <w:sectPr w:rsidR="00307D76">
          <w:headerReference w:type="default" r:id="rId39"/>
          <w:footerReference w:type="default" r:id="rId40"/>
          <w:pgSz w:w="11906" w:h="16838"/>
          <w:pgMar w:top="1417" w:right="1701" w:bottom="1417" w:left="1701" w:header="708" w:footer="708" w:gutter="0"/>
          <w:cols w:space="708"/>
          <w:docGrid w:linePitch="360"/>
        </w:sectPr>
      </w:pPr>
      <w:r>
        <w:rPr>
          <w:rFonts w:asciiTheme="minorHAnsi" w:eastAsiaTheme="minorHAnsi" w:hAnsiTheme="minorHAnsi" w:cstheme="minorBidi"/>
          <w:sz w:val="22"/>
          <w:szCs w:val="22"/>
          <w:lang w:eastAsia="en-US"/>
        </w:rPr>
        <w:t>En los cuadros anexos se recogen las medidas implementadas con cierto éxito para incrementar la vivienda social y los resultados obtenidos por las mismas tanto en España como en países relevantes de ámbito europeo.</w:t>
      </w:r>
    </w:p>
    <w:p w:rsidR="00307D76" w:rsidRDefault="00307D76" w:rsidP="00553F64">
      <w:pPr>
        <w:pStyle w:val="pb-article-item-iteration"/>
        <w:jc w:val="both"/>
      </w:pPr>
    </w:p>
    <w:tbl>
      <w:tblPr>
        <w:tblStyle w:val="Tablaconcuadrcula"/>
        <w:tblW w:w="14973" w:type="dxa"/>
        <w:tblLook w:val="04A0" w:firstRow="1" w:lastRow="0" w:firstColumn="1" w:lastColumn="0" w:noHBand="0" w:noVBand="1"/>
      </w:tblPr>
      <w:tblGrid>
        <w:gridCol w:w="1980"/>
        <w:gridCol w:w="8221"/>
        <w:gridCol w:w="4772"/>
      </w:tblGrid>
      <w:tr w:rsidR="00553F64" w:rsidRPr="00B3026E" w:rsidTr="00114710">
        <w:tc>
          <w:tcPr>
            <w:tcW w:w="14973" w:type="dxa"/>
            <w:gridSpan w:val="3"/>
          </w:tcPr>
          <w:p w:rsidR="00553F64" w:rsidRPr="00B3026E" w:rsidRDefault="00553F64" w:rsidP="00114710">
            <w:pPr>
              <w:jc w:val="center"/>
              <w:rPr>
                <w:sz w:val="18"/>
                <w:szCs w:val="18"/>
              </w:rPr>
            </w:pPr>
            <w:r w:rsidRPr="00B0522B">
              <w:rPr>
                <w:b/>
                <w:sz w:val="24"/>
                <w:szCs w:val="24"/>
              </w:rPr>
              <w:t>Políticas de vivienda social en España y CC.AA.</w:t>
            </w:r>
          </w:p>
        </w:tc>
      </w:tr>
      <w:tr w:rsidR="00553F64" w:rsidRPr="00B3026E" w:rsidTr="00114710">
        <w:tc>
          <w:tcPr>
            <w:tcW w:w="1980" w:type="dxa"/>
          </w:tcPr>
          <w:p w:rsidR="00553F64" w:rsidRPr="00B3026E" w:rsidRDefault="00553F64" w:rsidP="00114710">
            <w:pPr>
              <w:jc w:val="center"/>
              <w:rPr>
                <w:b/>
                <w:sz w:val="18"/>
                <w:szCs w:val="18"/>
              </w:rPr>
            </w:pPr>
            <w:r>
              <w:rPr>
                <w:b/>
                <w:sz w:val="18"/>
                <w:szCs w:val="18"/>
              </w:rPr>
              <w:t>Ámbito</w:t>
            </w:r>
          </w:p>
        </w:tc>
        <w:tc>
          <w:tcPr>
            <w:tcW w:w="8221" w:type="dxa"/>
          </w:tcPr>
          <w:p w:rsidR="00553F64" w:rsidRPr="00B3026E" w:rsidRDefault="00553F64" w:rsidP="00114710">
            <w:pPr>
              <w:jc w:val="center"/>
              <w:rPr>
                <w:b/>
                <w:sz w:val="18"/>
                <w:szCs w:val="18"/>
              </w:rPr>
            </w:pPr>
            <w:r w:rsidRPr="00B3026E">
              <w:rPr>
                <w:b/>
                <w:sz w:val="18"/>
                <w:szCs w:val="18"/>
              </w:rPr>
              <w:t>Medidas</w:t>
            </w:r>
          </w:p>
        </w:tc>
        <w:tc>
          <w:tcPr>
            <w:tcW w:w="4772" w:type="dxa"/>
          </w:tcPr>
          <w:p w:rsidR="00553F64" w:rsidRPr="00B3026E" w:rsidRDefault="00553F64" w:rsidP="00114710">
            <w:pPr>
              <w:jc w:val="center"/>
              <w:rPr>
                <w:b/>
                <w:sz w:val="18"/>
                <w:szCs w:val="18"/>
              </w:rPr>
            </w:pPr>
            <w:r>
              <w:rPr>
                <w:b/>
                <w:sz w:val="18"/>
                <w:szCs w:val="18"/>
              </w:rPr>
              <w:t>Resultados</w:t>
            </w:r>
          </w:p>
        </w:tc>
      </w:tr>
      <w:tr w:rsidR="00553F64" w:rsidRPr="00B3026E" w:rsidTr="00114710">
        <w:tc>
          <w:tcPr>
            <w:tcW w:w="1980" w:type="dxa"/>
          </w:tcPr>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Pr="00B3026E" w:rsidRDefault="00553F64" w:rsidP="00114710">
            <w:pPr>
              <w:jc w:val="both"/>
              <w:rPr>
                <w:sz w:val="18"/>
                <w:szCs w:val="18"/>
              </w:rPr>
            </w:pPr>
            <w:r>
              <w:rPr>
                <w:sz w:val="18"/>
                <w:szCs w:val="18"/>
              </w:rPr>
              <w:t>España década de los 80</w:t>
            </w:r>
          </w:p>
        </w:tc>
        <w:tc>
          <w:tcPr>
            <w:tcW w:w="8221" w:type="dxa"/>
          </w:tcPr>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P</w:t>
            </w:r>
            <w:r w:rsidRPr="00D40ED1">
              <w:rPr>
                <w:rFonts w:eastAsia="Times New Roman" w:cstheme="minorHAnsi"/>
                <w:sz w:val="18"/>
                <w:szCs w:val="18"/>
                <w:lang w:eastAsia="es-ES"/>
              </w:rPr>
              <w:t>romoción pública y privada</w:t>
            </w:r>
            <w:r>
              <w:rPr>
                <w:rFonts w:eastAsia="Times New Roman" w:cstheme="minorHAnsi"/>
                <w:sz w:val="18"/>
                <w:szCs w:val="18"/>
                <w:lang w:eastAsia="es-ES"/>
              </w:rPr>
              <w:t xml:space="preserve"> de vivienda protegida con calificación de carácter temporal.</w:t>
            </w:r>
          </w:p>
          <w:p w:rsidR="00553F64" w:rsidRPr="00F93B06" w:rsidRDefault="00553F64" w:rsidP="00553F64">
            <w:pPr>
              <w:pStyle w:val="Prrafodelista"/>
              <w:numPr>
                <w:ilvl w:val="0"/>
                <w:numId w:val="7"/>
              </w:numPr>
              <w:jc w:val="both"/>
              <w:rPr>
                <w:rFonts w:eastAsia="Times New Roman" w:cstheme="minorHAnsi"/>
                <w:sz w:val="18"/>
                <w:szCs w:val="18"/>
                <w:lang w:eastAsia="es-ES"/>
              </w:rPr>
            </w:pPr>
            <w:r w:rsidRPr="00F93B06">
              <w:rPr>
                <w:rFonts w:eastAsia="Times New Roman" w:cstheme="minorHAnsi"/>
                <w:sz w:val="18"/>
                <w:szCs w:val="18"/>
                <w:lang w:eastAsia="es-ES"/>
              </w:rPr>
              <w:t>Condiciones especiales de financiación de la adquisición (demanda) y de la construcción de vivienda en propiedad y/o alquiler (oferta):</w:t>
            </w:r>
          </w:p>
          <w:p w:rsidR="00553F64" w:rsidRDefault="00553F64" w:rsidP="00553F64">
            <w:pPr>
              <w:pStyle w:val="Prrafodelista"/>
              <w:numPr>
                <w:ilvl w:val="0"/>
                <w:numId w:val="6"/>
              </w:numPr>
              <w:jc w:val="both"/>
              <w:rPr>
                <w:rFonts w:eastAsia="Times New Roman" w:cstheme="minorHAnsi"/>
                <w:sz w:val="18"/>
                <w:szCs w:val="18"/>
                <w:lang w:eastAsia="es-ES"/>
              </w:rPr>
            </w:pPr>
            <w:r w:rsidRPr="000244D7">
              <w:rPr>
                <w:rFonts w:eastAsia="Times New Roman" w:cstheme="minorHAnsi"/>
                <w:sz w:val="18"/>
                <w:szCs w:val="18"/>
                <w:lang w:eastAsia="es-ES"/>
              </w:rPr>
              <w:t>convenios entre entidades financieras y Administración en cuanto a volumen destinado a financiar los planes de vivienda</w:t>
            </w:r>
            <w:r>
              <w:rPr>
                <w:rFonts w:eastAsia="Times New Roman" w:cstheme="minorHAnsi"/>
                <w:sz w:val="18"/>
                <w:szCs w:val="18"/>
                <w:lang w:eastAsia="es-ES"/>
              </w:rPr>
              <w:t>.</w:t>
            </w:r>
          </w:p>
          <w:p w:rsidR="00553F64" w:rsidRPr="000244D7" w:rsidRDefault="00553F64" w:rsidP="00553F64">
            <w:pPr>
              <w:pStyle w:val="Prrafodelista"/>
              <w:numPr>
                <w:ilvl w:val="0"/>
                <w:numId w:val="6"/>
              </w:numPr>
              <w:jc w:val="both"/>
              <w:rPr>
                <w:rFonts w:eastAsia="Times New Roman" w:cstheme="minorHAnsi"/>
                <w:sz w:val="18"/>
                <w:szCs w:val="18"/>
                <w:lang w:eastAsia="es-ES"/>
              </w:rPr>
            </w:pPr>
            <w:r w:rsidRPr="000244D7">
              <w:rPr>
                <w:rFonts w:eastAsia="Times New Roman" w:cstheme="minorHAnsi"/>
                <w:sz w:val="18"/>
                <w:szCs w:val="18"/>
                <w:lang w:eastAsia="es-ES"/>
              </w:rPr>
              <w:t>el subsidio a cargo de los Presupuestos Generales del Estado del tipo de interés de los préstamos</w:t>
            </w:r>
            <w:r>
              <w:rPr>
                <w:rFonts w:eastAsia="Times New Roman" w:cstheme="minorHAnsi"/>
                <w:sz w:val="18"/>
                <w:szCs w:val="18"/>
                <w:lang w:eastAsia="es-ES"/>
              </w:rPr>
              <w:t>.</w:t>
            </w:r>
          </w:p>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S</w:t>
            </w:r>
            <w:r w:rsidRPr="008251A0">
              <w:rPr>
                <w:rFonts w:eastAsia="Times New Roman" w:cstheme="minorHAnsi"/>
                <w:sz w:val="18"/>
                <w:szCs w:val="18"/>
                <w:lang w:eastAsia="es-ES"/>
              </w:rPr>
              <w:t>e incorporan requisitos relacionados con el nivel de renta de las familias solicitantes de ayuda</w:t>
            </w:r>
            <w:r>
              <w:rPr>
                <w:rFonts w:eastAsia="Times New Roman" w:cstheme="minorHAnsi"/>
                <w:sz w:val="18"/>
                <w:szCs w:val="18"/>
                <w:lang w:eastAsia="es-ES"/>
              </w:rPr>
              <w:t xml:space="preserve">, con distintas tipologías de </w:t>
            </w:r>
            <w:r w:rsidRPr="00684D52">
              <w:rPr>
                <w:rFonts w:eastAsia="Times New Roman" w:cstheme="minorHAnsi"/>
                <w:sz w:val="18"/>
                <w:szCs w:val="18"/>
                <w:lang w:eastAsia="es-ES"/>
              </w:rPr>
              <w:t xml:space="preserve">viviendas protegidas </w:t>
            </w:r>
            <w:r>
              <w:rPr>
                <w:rFonts w:eastAsia="Times New Roman" w:cstheme="minorHAnsi"/>
                <w:sz w:val="18"/>
                <w:szCs w:val="18"/>
                <w:lang w:eastAsia="es-ES"/>
              </w:rPr>
              <w:t>(r</w:t>
            </w:r>
            <w:r w:rsidRPr="00684D52">
              <w:rPr>
                <w:rFonts w:eastAsia="Times New Roman" w:cstheme="minorHAnsi"/>
                <w:sz w:val="18"/>
                <w:szCs w:val="18"/>
                <w:lang w:eastAsia="es-ES"/>
              </w:rPr>
              <w:t>égimen especial, general y concertado</w:t>
            </w:r>
            <w:r>
              <w:rPr>
                <w:rFonts w:eastAsia="Times New Roman" w:cstheme="minorHAnsi"/>
                <w:sz w:val="18"/>
                <w:szCs w:val="18"/>
                <w:lang w:eastAsia="es-ES"/>
              </w:rPr>
              <w:t xml:space="preserve">) </w:t>
            </w:r>
            <w:r w:rsidRPr="00684D52">
              <w:rPr>
                <w:rFonts w:eastAsia="Times New Roman" w:cstheme="minorHAnsi"/>
                <w:sz w:val="18"/>
                <w:szCs w:val="18"/>
                <w:lang w:eastAsia="es-ES"/>
              </w:rPr>
              <w:t>según los ingresos máximos del hogar</w:t>
            </w:r>
            <w:r>
              <w:rPr>
                <w:rFonts w:eastAsia="Times New Roman" w:cstheme="minorHAnsi"/>
                <w:sz w:val="18"/>
                <w:szCs w:val="18"/>
                <w:lang w:eastAsia="es-ES"/>
              </w:rPr>
              <w:t xml:space="preserve"> solicitante.</w:t>
            </w:r>
          </w:p>
          <w:p w:rsidR="00553F64" w:rsidRPr="000244D7"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Introducción de una deducción fiscal por compra de vivienda habitual.</w:t>
            </w:r>
          </w:p>
        </w:tc>
        <w:tc>
          <w:tcPr>
            <w:tcW w:w="4772" w:type="dxa"/>
          </w:tcPr>
          <w:p w:rsidR="00553F64" w:rsidRPr="00C868DB" w:rsidRDefault="00553F64" w:rsidP="00553F64">
            <w:pPr>
              <w:pStyle w:val="Prrafodelista"/>
              <w:numPr>
                <w:ilvl w:val="0"/>
                <w:numId w:val="7"/>
              </w:numPr>
              <w:jc w:val="both"/>
              <w:rPr>
                <w:rFonts w:eastAsia="Times New Roman" w:cstheme="minorHAnsi"/>
                <w:sz w:val="18"/>
                <w:szCs w:val="18"/>
                <w:lang w:eastAsia="es-ES"/>
              </w:rPr>
            </w:pPr>
            <w:r w:rsidRPr="00C868DB">
              <w:rPr>
                <w:rFonts w:eastAsia="Times New Roman" w:cstheme="minorHAnsi"/>
                <w:sz w:val="18"/>
                <w:szCs w:val="18"/>
                <w:lang w:eastAsia="es-ES"/>
              </w:rPr>
              <w:t>En la década de los 80 las viviendas de protección oficial terminadas cada año e</w:t>
            </w:r>
            <w:r>
              <w:rPr>
                <w:rFonts w:eastAsia="Times New Roman" w:cstheme="minorHAnsi"/>
                <w:sz w:val="18"/>
                <w:szCs w:val="18"/>
                <w:lang w:eastAsia="es-ES"/>
              </w:rPr>
              <w:t>n España superaban las 100.000</w:t>
            </w:r>
            <w:r w:rsidRPr="00C868DB">
              <w:rPr>
                <w:rFonts w:eastAsia="Times New Roman" w:cstheme="minorHAnsi"/>
                <w:sz w:val="18"/>
                <w:szCs w:val="18"/>
                <w:lang w:eastAsia="es-ES"/>
              </w:rPr>
              <w:t>.</w:t>
            </w:r>
          </w:p>
          <w:p w:rsidR="00553F64" w:rsidRDefault="00553F64" w:rsidP="00553F64">
            <w:pPr>
              <w:pStyle w:val="Prrafodelista"/>
              <w:numPr>
                <w:ilvl w:val="0"/>
                <w:numId w:val="7"/>
              </w:numPr>
              <w:jc w:val="both"/>
              <w:rPr>
                <w:rFonts w:eastAsia="Times New Roman" w:cstheme="minorHAnsi"/>
                <w:sz w:val="18"/>
                <w:szCs w:val="18"/>
                <w:lang w:eastAsia="es-ES"/>
              </w:rPr>
            </w:pPr>
            <w:r w:rsidRPr="00C868DB">
              <w:rPr>
                <w:rFonts w:eastAsia="Times New Roman" w:cstheme="minorHAnsi"/>
                <w:sz w:val="18"/>
                <w:szCs w:val="18"/>
                <w:lang w:eastAsia="es-ES"/>
              </w:rPr>
              <w:t>A m</w:t>
            </w:r>
            <w:r>
              <w:rPr>
                <w:rFonts w:eastAsia="Times New Roman" w:cstheme="minorHAnsi"/>
                <w:sz w:val="18"/>
                <w:szCs w:val="18"/>
                <w:lang w:eastAsia="es-ES"/>
              </w:rPr>
              <w:t xml:space="preserve">ediados </w:t>
            </w:r>
            <w:r w:rsidRPr="00C868DB">
              <w:rPr>
                <w:rFonts w:eastAsia="Times New Roman" w:cstheme="minorHAnsi"/>
                <w:sz w:val="18"/>
                <w:szCs w:val="18"/>
                <w:lang w:eastAsia="es-ES"/>
              </w:rPr>
              <w:t>de los 80, la producción de vivienda protegida representaba más del 50% del total, superando la de vivienda libre.</w:t>
            </w:r>
          </w:p>
          <w:p w:rsidR="00553F64" w:rsidRPr="0021631B"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La VPO tenía un componente social pero también permitió el acceso a vivienda a los hogares de </w:t>
            </w:r>
            <w:r w:rsidRPr="00B95E5E">
              <w:rPr>
                <w:rFonts w:eastAsia="Times New Roman" w:cstheme="minorHAnsi"/>
                <w:sz w:val="18"/>
                <w:szCs w:val="18"/>
                <w:lang w:eastAsia="es-ES"/>
              </w:rPr>
              <w:t>rentas medias y medias-altas</w:t>
            </w:r>
            <w:r>
              <w:rPr>
                <w:rFonts w:eastAsia="Times New Roman" w:cstheme="minorHAnsi"/>
                <w:sz w:val="18"/>
                <w:szCs w:val="18"/>
                <w:lang w:eastAsia="es-ES"/>
              </w:rPr>
              <w:t xml:space="preserve">. Para los segmentos más vulnerables el acceso a la vivienda se vinculaba a la construcción </w:t>
            </w:r>
            <w:r w:rsidRPr="00206A5E">
              <w:rPr>
                <w:rFonts w:eastAsia="Times New Roman" w:cstheme="minorHAnsi"/>
                <w:sz w:val="18"/>
                <w:szCs w:val="18"/>
                <w:lang w:eastAsia="es-ES"/>
              </w:rPr>
              <w:t>viviendas de promoción pública (VPP).</w:t>
            </w:r>
          </w:p>
        </w:tc>
      </w:tr>
      <w:tr w:rsidR="00553F64" w:rsidRPr="00B3026E" w:rsidTr="00114710">
        <w:trPr>
          <w:trHeight w:val="1858"/>
        </w:trPr>
        <w:tc>
          <w:tcPr>
            <w:tcW w:w="1980" w:type="dxa"/>
          </w:tcPr>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r>
              <w:rPr>
                <w:sz w:val="18"/>
                <w:szCs w:val="18"/>
              </w:rPr>
              <w:t>Andalucía</w:t>
            </w:r>
          </w:p>
        </w:tc>
        <w:tc>
          <w:tcPr>
            <w:tcW w:w="8221" w:type="dxa"/>
          </w:tcPr>
          <w:p w:rsidR="00553F64" w:rsidRDefault="00553F64" w:rsidP="00114710">
            <w:pPr>
              <w:pStyle w:val="Prrafodelista"/>
              <w:ind w:left="360"/>
              <w:jc w:val="both"/>
              <w:rPr>
                <w:rFonts w:eastAsia="Times New Roman" w:cstheme="minorHAnsi"/>
                <w:sz w:val="18"/>
                <w:szCs w:val="18"/>
                <w:lang w:eastAsia="es-ES"/>
              </w:rPr>
            </w:pPr>
          </w:p>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Dos </w:t>
            </w:r>
            <w:r w:rsidRPr="00FC05AC">
              <w:rPr>
                <w:rFonts w:eastAsia="Times New Roman" w:cstheme="minorHAnsi"/>
                <w:sz w:val="18"/>
                <w:szCs w:val="18"/>
                <w:lang w:eastAsia="es-ES"/>
              </w:rPr>
              <w:t>estrategias para impulsar la vivienda en alquiler social</w:t>
            </w:r>
            <w:r>
              <w:rPr>
                <w:rFonts w:eastAsia="Times New Roman" w:cstheme="minorHAnsi"/>
                <w:sz w:val="18"/>
                <w:szCs w:val="18"/>
                <w:lang w:eastAsia="es-ES"/>
              </w:rPr>
              <w:t xml:space="preserve">, fundamentalmente a través del </w:t>
            </w:r>
            <w:r w:rsidRPr="009D0470">
              <w:rPr>
                <w:rFonts w:eastAsia="Times New Roman" w:cstheme="minorHAnsi"/>
                <w:sz w:val="18"/>
                <w:szCs w:val="18"/>
                <w:lang w:eastAsia="es-ES"/>
              </w:rPr>
              <w:t>Programa de Intermediación en el Mercado del Alquiler</w:t>
            </w:r>
            <w:r>
              <w:rPr>
                <w:rFonts w:eastAsia="Times New Roman" w:cstheme="minorHAnsi"/>
                <w:sz w:val="18"/>
                <w:szCs w:val="18"/>
                <w:lang w:eastAsia="es-ES"/>
              </w:rPr>
              <w:t xml:space="preserve"> (PIMA), </w:t>
            </w:r>
            <w:r w:rsidRPr="00FC05AC">
              <w:rPr>
                <w:rFonts w:eastAsia="Times New Roman" w:cstheme="minorHAnsi"/>
                <w:sz w:val="18"/>
                <w:szCs w:val="18"/>
                <w:lang w:eastAsia="es-ES"/>
              </w:rPr>
              <w:t>que cuenta con una alta demanda entre los jóvenes</w:t>
            </w:r>
            <w:r>
              <w:rPr>
                <w:rFonts w:eastAsia="Times New Roman" w:cstheme="minorHAnsi"/>
                <w:sz w:val="18"/>
                <w:szCs w:val="18"/>
                <w:lang w:eastAsia="es-ES"/>
              </w:rPr>
              <w:t xml:space="preserve">: </w:t>
            </w:r>
          </w:p>
          <w:p w:rsidR="00553F64" w:rsidRDefault="00553F64" w:rsidP="00553F64">
            <w:pPr>
              <w:pStyle w:val="Prrafodelista"/>
              <w:numPr>
                <w:ilvl w:val="0"/>
                <w:numId w:val="6"/>
              </w:numPr>
              <w:jc w:val="both"/>
              <w:rPr>
                <w:rFonts w:eastAsia="Times New Roman" w:cstheme="minorHAnsi"/>
                <w:sz w:val="18"/>
                <w:szCs w:val="18"/>
                <w:lang w:eastAsia="es-ES"/>
              </w:rPr>
            </w:pPr>
            <w:r>
              <w:rPr>
                <w:rFonts w:eastAsia="Times New Roman" w:cstheme="minorHAnsi"/>
                <w:sz w:val="18"/>
                <w:szCs w:val="18"/>
                <w:lang w:eastAsia="es-ES"/>
              </w:rPr>
              <w:t xml:space="preserve">Promoción de obra nueva </w:t>
            </w:r>
          </w:p>
          <w:p w:rsidR="00553F64" w:rsidRDefault="00553F64" w:rsidP="00553F64">
            <w:pPr>
              <w:pStyle w:val="Prrafodelista"/>
              <w:numPr>
                <w:ilvl w:val="0"/>
                <w:numId w:val="6"/>
              </w:numPr>
              <w:jc w:val="both"/>
              <w:rPr>
                <w:rFonts w:eastAsia="Times New Roman" w:cstheme="minorHAnsi"/>
                <w:sz w:val="18"/>
                <w:szCs w:val="18"/>
                <w:lang w:eastAsia="es-ES"/>
              </w:rPr>
            </w:pPr>
            <w:r>
              <w:rPr>
                <w:rFonts w:eastAsia="Times New Roman" w:cstheme="minorHAnsi"/>
                <w:sz w:val="18"/>
                <w:szCs w:val="18"/>
                <w:lang w:eastAsia="es-ES"/>
              </w:rPr>
              <w:t>Rehabilitación de vivienda</w:t>
            </w:r>
          </w:p>
          <w:p w:rsidR="00553F64" w:rsidRDefault="00553F64" w:rsidP="00114710">
            <w:pPr>
              <w:jc w:val="both"/>
              <w:rPr>
                <w:sz w:val="18"/>
                <w:szCs w:val="18"/>
              </w:rPr>
            </w:pPr>
          </w:p>
        </w:tc>
        <w:tc>
          <w:tcPr>
            <w:tcW w:w="4772" w:type="dxa"/>
          </w:tcPr>
          <w:p w:rsidR="00553F64" w:rsidRPr="0021631B"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Andalucía cuenta con el m</w:t>
            </w:r>
            <w:r w:rsidRPr="00140DB1">
              <w:rPr>
                <w:rFonts w:eastAsia="Times New Roman" w:cstheme="minorHAnsi"/>
                <w:sz w:val="18"/>
                <w:szCs w:val="18"/>
                <w:lang w:eastAsia="es-ES"/>
              </w:rPr>
              <w:t xml:space="preserve">ayor parque de vivienda </w:t>
            </w:r>
            <w:r>
              <w:rPr>
                <w:rFonts w:eastAsia="Times New Roman" w:cstheme="minorHAnsi"/>
                <w:sz w:val="18"/>
                <w:szCs w:val="18"/>
                <w:lang w:eastAsia="es-ES"/>
              </w:rPr>
              <w:t xml:space="preserve">social </w:t>
            </w:r>
            <w:r w:rsidRPr="00140DB1">
              <w:rPr>
                <w:rFonts w:eastAsia="Times New Roman" w:cstheme="minorHAnsi"/>
                <w:sz w:val="18"/>
                <w:szCs w:val="18"/>
                <w:lang w:eastAsia="es-ES"/>
              </w:rPr>
              <w:t>de España</w:t>
            </w:r>
            <w:r>
              <w:rPr>
                <w:rFonts w:eastAsia="Times New Roman" w:cstheme="minorHAnsi"/>
                <w:sz w:val="18"/>
                <w:szCs w:val="18"/>
                <w:lang w:eastAsia="es-ES"/>
              </w:rPr>
              <w:t xml:space="preserve">, según el </w:t>
            </w:r>
            <w:r>
              <w:rPr>
                <w:sz w:val="18"/>
                <w:szCs w:val="18"/>
              </w:rPr>
              <w:t>Observatorio de Vivienda y Suelo</w:t>
            </w:r>
            <w:r w:rsidRPr="0021631B">
              <w:rPr>
                <w:rFonts w:eastAsia="Times New Roman" w:cstheme="minorHAnsi"/>
                <w:sz w:val="18"/>
                <w:szCs w:val="18"/>
                <w:lang w:eastAsia="es-ES"/>
              </w:rPr>
              <w:t>.</w:t>
            </w:r>
          </w:p>
          <w:p w:rsidR="00553F64" w:rsidRDefault="00553F64" w:rsidP="00553F64">
            <w:pPr>
              <w:pStyle w:val="Prrafodelista"/>
              <w:numPr>
                <w:ilvl w:val="0"/>
                <w:numId w:val="7"/>
              </w:numPr>
              <w:jc w:val="both"/>
              <w:rPr>
                <w:rFonts w:eastAsia="Times New Roman" w:cstheme="minorHAnsi"/>
                <w:sz w:val="18"/>
                <w:szCs w:val="18"/>
                <w:lang w:eastAsia="es-ES"/>
              </w:rPr>
            </w:pPr>
            <w:r w:rsidRPr="007732BA">
              <w:rPr>
                <w:rFonts w:eastAsia="Times New Roman" w:cstheme="minorHAnsi"/>
                <w:sz w:val="18"/>
                <w:szCs w:val="18"/>
                <w:lang w:eastAsia="es-ES"/>
              </w:rPr>
              <w:t>Lidera el parque de viviendas sociales en régimen de arrendamiento</w:t>
            </w:r>
            <w:r>
              <w:rPr>
                <w:rFonts w:eastAsia="Times New Roman" w:cstheme="minorHAnsi"/>
                <w:sz w:val="18"/>
                <w:szCs w:val="18"/>
                <w:lang w:eastAsia="es-ES"/>
              </w:rPr>
              <w:t xml:space="preserve">, </w:t>
            </w:r>
            <w:r w:rsidRPr="007732BA">
              <w:rPr>
                <w:rFonts w:eastAsia="Times New Roman" w:cstheme="minorHAnsi"/>
                <w:sz w:val="18"/>
                <w:szCs w:val="18"/>
                <w:lang w:eastAsia="es-ES"/>
              </w:rPr>
              <w:t xml:space="preserve">con 49.794 viviendas de titularidad </w:t>
            </w:r>
            <w:r>
              <w:rPr>
                <w:rFonts w:eastAsia="Times New Roman" w:cstheme="minorHAnsi"/>
                <w:sz w:val="18"/>
                <w:szCs w:val="18"/>
                <w:lang w:eastAsia="es-ES"/>
              </w:rPr>
              <w:t>pública en régimen de alquiler.</w:t>
            </w:r>
          </w:p>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E</w:t>
            </w:r>
            <w:r w:rsidRPr="0021631B">
              <w:rPr>
                <w:rFonts w:eastAsia="Times New Roman" w:cstheme="minorHAnsi"/>
                <w:sz w:val="18"/>
                <w:szCs w:val="18"/>
                <w:lang w:eastAsia="es-ES"/>
              </w:rPr>
              <w:t>l parque de vivienda protegida destinado a la venta, así como a otros regímenes de tenencia, es especialmente significativo en Andalucía, con 20.426</w:t>
            </w:r>
            <w:r>
              <w:rPr>
                <w:rFonts w:eastAsia="Times New Roman" w:cstheme="minorHAnsi"/>
                <w:sz w:val="18"/>
                <w:szCs w:val="18"/>
                <w:lang w:eastAsia="es-ES"/>
              </w:rPr>
              <w:t xml:space="preserve"> viviendas.</w:t>
            </w:r>
          </w:p>
        </w:tc>
      </w:tr>
      <w:tr w:rsidR="00553F64" w:rsidRPr="00B3026E" w:rsidTr="00114710">
        <w:trPr>
          <w:trHeight w:val="1282"/>
        </w:trPr>
        <w:tc>
          <w:tcPr>
            <w:tcW w:w="1980" w:type="dxa"/>
          </w:tcPr>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Pr="00B3026E" w:rsidRDefault="00553F64" w:rsidP="00114710">
            <w:pPr>
              <w:jc w:val="both"/>
              <w:rPr>
                <w:sz w:val="18"/>
                <w:szCs w:val="18"/>
              </w:rPr>
            </w:pPr>
            <w:r w:rsidRPr="00B3026E">
              <w:rPr>
                <w:sz w:val="18"/>
                <w:szCs w:val="18"/>
              </w:rPr>
              <w:t>País Vasco</w:t>
            </w:r>
          </w:p>
        </w:tc>
        <w:tc>
          <w:tcPr>
            <w:tcW w:w="8221" w:type="dxa"/>
          </w:tcPr>
          <w:p w:rsidR="00553F64" w:rsidRDefault="00553F64" w:rsidP="00553F64">
            <w:pPr>
              <w:pStyle w:val="Prrafodelista"/>
              <w:numPr>
                <w:ilvl w:val="0"/>
                <w:numId w:val="7"/>
              </w:numPr>
              <w:jc w:val="both"/>
              <w:rPr>
                <w:rFonts w:eastAsia="Times New Roman" w:cstheme="minorHAnsi"/>
                <w:sz w:val="18"/>
                <w:szCs w:val="18"/>
                <w:lang w:eastAsia="es-ES"/>
              </w:rPr>
            </w:pPr>
            <w:r w:rsidRPr="00617E10">
              <w:rPr>
                <w:rFonts w:eastAsia="Times New Roman" w:cstheme="minorHAnsi"/>
                <w:sz w:val="18"/>
                <w:szCs w:val="18"/>
                <w:lang w:eastAsia="es-ES"/>
              </w:rPr>
              <w:t>Normativa que reconoce el </w:t>
            </w:r>
            <w:r w:rsidRPr="00B470CD">
              <w:rPr>
                <w:rFonts w:eastAsia="Times New Roman" w:cstheme="minorHAnsi"/>
                <w:sz w:val="18"/>
                <w:szCs w:val="18"/>
                <w:lang w:eastAsia="es-ES"/>
              </w:rPr>
              <w:t>derecho subjetivo</w:t>
            </w:r>
            <w:r w:rsidRPr="00617E10">
              <w:rPr>
                <w:rFonts w:eastAsia="Times New Roman" w:cstheme="minorHAnsi"/>
                <w:sz w:val="18"/>
                <w:szCs w:val="18"/>
                <w:lang w:eastAsia="es-ES"/>
              </w:rPr>
              <w:t> que tienen los ciudadanos a acceder a una vivienda digna.</w:t>
            </w:r>
          </w:p>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Impulso d</w:t>
            </w:r>
            <w:r w:rsidRPr="00B470CD">
              <w:rPr>
                <w:rFonts w:eastAsia="Times New Roman" w:cstheme="minorHAnsi"/>
                <w:sz w:val="18"/>
                <w:szCs w:val="18"/>
                <w:lang w:eastAsia="es-ES"/>
              </w:rPr>
              <w:t xml:space="preserve">el alquiler social </w:t>
            </w:r>
            <w:r>
              <w:rPr>
                <w:rFonts w:eastAsia="Times New Roman" w:cstheme="minorHAnsi"/>
                <w:sz w:val="18"/>
                <w:szCs w:val="18"/>
                <w:lang w:eastAsia="es-ES"/>
              </w:rPr>
              <w:t xml:space="preserve">y asequible </w:t>
            </w:r>
            <w:r w:rsidRPr="00B470CD">
              <w:rPr>
                <w:rFonts w:eastAsia="Times New Roman" w:cstheme="minorHAnsi"/>
                <w:sz w:val="18"/>
                <w:szCs w:val="18"/>
                <w:lang w:eastAsia="es-ES"/>
              </w:rPr>
              <w:t xml:space="preserve">mediante </w:t>
            </w:r>
            <w:r>
              <w:rPr>
                <w:rFonts w:eastAsia="Times New Roman" w:cstheme="minorHAnsi"/>
                <w:sz w:val="18"/>
                <w:szCs w:val="18"/>
                <w:lang w:eastAsia="es-ES"/>
              </w:rPr>
              <w:t xml:space="preserve">dos fórmulas: </w:t>
            </w:r>
          </w:p>
          <w:p w:rsidR="00553F64" w:rsidRDefault="00553F64" w:rsidP="00553F64">
            <w:pPr>
              <w:pStyle w:val="Prrafodelista"/>
              <w:numPr>
                <w:ilvl w:val="0"/>
                <w:numId w:val="6"/>
              </w:numPr>
              <w:jc w:val="both"/>
              <w:rPr>
                <w:rFonts w:eastAsia="Times New Roman" w:cstheme="minorHAnsi"/>
                <w:sz w:val="18"/>
                <w:szCs w:val="18"/>
                <w:lang w:eastAsia="es-ES"/>
              </w:rPr>
            </w:pPr>
            <w:r w:rsidRPr="00B470CD">
              <w:rPr>
                <w:rFonts w:eastAsia="Times New Roman" w:cstheme="minorHAnsi"/>
                <w:sz w:val="18"/>
                <w:szCs w:val="18"/>
                <w:lang w:eastAsia="es-ES"/>
              </w:rPr>
              <w:t>la cons</w:t>
            </w:r>
            <w:r>
              <w:rPr>
                <w:rFonts w:eastAsia="Times New Roman" w:cstheme="minorHAnsi"/>
                <w:sz w:val="18"/>
                <w:szCs w:val="18"/>
                <w:lang w:eastAsia="es-ES"/>
              </w:rPr>
              <w:t>trucción de un parque público de vivienda. </w:t>
            </w:r>
          </w:p>
          <w:p w:rsidR="00553F64" w:rsidRPr="00A833D0" w:rsidRDefault="00553F64" w:rsidP="00553F64">
            <w:pPr>
              <w:pStyle w:val="Prrafodelista"/>
              <w:numPr>
                <w:ilvl w:val="0"/>
                <w:numId w:val="6"/>
              </w:numPr>
              <w:jc w:val="both"/>
              <w:rPr>
                <w:rFonts w:eastAsia="Times New Roman" w:cstheme="minorHAnsi"/>
                <w:sz w:val="18"/>
                <w:szCs w:val="18"/>
                <w:lang w:eastAsia="es-ES"/>
              </w:rPr>
            </w:pPr>
            <w:r w:rsidRPr="00B470CD">
              <w:rPr>
                <w:rFonts w:eastAsia="Times New Roman" w:cstheme="minorHAnsi"/>
                <w:sz w:val="18"/>
                <w:szCs w:val="18"/>
                <w:lang w:eastAsia="es-ES"/>
              </w:rPr>
              <w:t>la captación de viviendas deshabitadas para movilizar el stock de vi</w:t>
            </w:r>
            <w:r>
              <w:rPr>
                <w:rFonts w:eastAsia="Times New Roman" w:cstheme="minorHAnsi"/>
                <w:sz w:val="18"/>
                <w:szCs w:val="18"/>
                <w:lang w:eastAsia="es-ES"/>
              </w:rPr>
              <w:t>viendas vacías de particulares: l</w:t>
            </w:r>
            <w:r w:rsidRPr="00A833D0">
              <w:rPr>
                <w:rFonts w:eastAsia="Times New Roman" w:cstheme="minorHAnsi"/>
                <w:sz w:val="18"/>
                <w:szCs w:val="18"/>
                <w:lang w:eastAsia="es-ES"/>
              </w:rPr>
              <w:t>a Administración regional recibe los inmuebles en régimen de usufructo y durante seis años se encarga de la gestión integral del arrendamiento.</w:t>
            </w:r>
          </w:p>
        </w:tc>
        <w:tc>
          <w:tcPr>
            <w:tcW w:w="4772" w:type="dxa"/>
          </w:tcPr>
          <w:p w:rsidR="00553F64" w:rsidRPr="005C3D3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Desde </w:t>
            </w:r>
            <w:r w:rsidRPr="0021631B">
              <w:rPr>
                <w:rFonts w:eastAsia="Times New Roman" w:cstheme="minorHAnsi"/>
                <w:sz w:val="18"/>
                <w:szCs w:val="18"/>
                <w:lang w:eastAsia="es-ES"/>
              </w:rPr>
              <w:t>2015, el parque de viviendas protegidas para alquiler ha pasado de 20.215 a 25.823 y, en porcentaje, del 25% al 33%</w:t>
            </w:r>
            <w:r>
              <w:rPr>
                <w:rFonts w:eastAsia="Times New Roman" w:cstheme="minorHAnsi"/>
                <w:sz w:val="18"/>
                <w:szCs w:val="18"/>
                <w:lang w:eastAsia="es-ES"/>
              </w:rPr>
              <w:t xml:space="preserve"> del total, el segundo mayor parque de España. </w:t>
            </w:r>
          </w:p>
        </w:tc>
      </w:tr>
      <w:tr w:rsidR="00553F64" w:rsidRPr="00B3026E" w:rsidTr="00114710">
        <w:trPr>
          <w:trHeight w:val="1131"/>
        </w:trPr>
        <w:tc>
          <w:tcPr>
            <w:tcW w:w="1980" w:type="dxa"/>
          </w:tcPr>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r>
              <w:rPr>
                <w:sz w:val="18"/>
                <w:szCs w:val="18"/>
              </w:rPr>
              <w:t>Cataluña</w:t>
            </w:r>
          </w:p>
          <w:p w:rsidR="00553F64" w:rsidRDefault="00553F64" w:rsidP="00114710">
            <w:pPr>
              <w:jc w:val="both"/>
              <w:rPr>
                <w:sz w:val="18"/>
                <w:szCs w:val="18"/>
              </w:rPr>
            </w:pPr>
          </w:p>
          <w:p w:rsidR="00553F64" w:rsidRDefault="00553F64" w:rsidP="00114710">
            <w:pPr>
              <w:jc w:val="both"/>
              <w:rPr>
                <w:sz w:val="18"/>
                <w:szCs w:val="18"/>
              </w:rPr>
            </w:pPr>
          </w:p>
        </w:tc>
        <w:tc>
          <w:tcPr>
            <w:tcW w:w="8221" w:type="dxa"/>
          </w:tcPr>
          <w:p w:rsidR="00553F64" w:rsidRDefault="00553F64" w:rsidP="00553F64">
            <w:pPr>
              <w:pStyle w:val="Prrafodelista"/>
              <w:numPr>
                <w:ilvl w:val="0"/>
                <w:numId w:val="7"/>
              </w:numPr>
              <w:jc w:val="both"/>
              <w:rPr>
                <w:rFonts w:eastAsia="Times New Roman" w:cstheme="minorHAnsi"/>
                <w:sz w:val="18"/>
                <w:szCs w:val="18"/>
                <w:lang w:eastAsia="es-ES"/>
              </w:rPr>
            </w:pPr>
            <w:r w:rsidRPr="008E3C0D">
              <w:rPr>
                <w:rFonts w:eastAsia="Times New Roman" w:cstheme="minorHAnsi"/>
                <w:sz w:val="18"/>
                <w:szCs w:val="18"/>
                <w:lang w:eastAsia="es-ES"/>
              </w:rPr>
              <w:t xml:space="preserve">Acuerdos de la Comunidad con entidades financieras para ceder inmuebles a alquiler social. </w:t>
            </w:r>
          </w:p>
          <w:p w:rsidR="00553F64" w:rsidRDefault="00553F64" w:rsidP="00553F64">
            <w:pPr>
              <w:pStyle w:val="Prrafodelista"/>
              <w:numPr>
                <w:ilvl w:val="0"/>
                <w:numId w:val="7"/>
              </w:numPr>
              <w:jc w:val="both"/>
              <w:rPr>
                <w:rFonts w:eastAsia="Times New Roman" w:cstheme="minorHAnsi"/>
                <w:sz w:val="18"/>
                <w:szCs w:val="18"/>
                <w:lang w:eastAsia="es-ES"/>
              </w:rPr>
            </w:pPr>
            <w:r w:rsidRPr="008E3C0D">
              <w:rPr>
                <w:rFonts w:eastAsia="Times New Roman" w:cstheme="minorHAnsi"/>
                <w:sz w:val="18"/>
                <w:szCs w:val="18"/>
                <w:lang w:eastAsia="es-ES"/>
              </w:rPr>
              <w:t xml:space="preserve">Programas de mediación para sacar al mercado viviendas vacías: ofreciendo bonificaciones a aquellos propietarios privados que cedan temporalmente la gestión de sus viviendas en alquiler. </w:t>
            </w:r>
          </w:p>
          <w:p w:rsidR="00553F64" w:rsidRPr="008E3C0D" w:rsidRDefault="00553F64" w:rsidP="00553F64">
            <w:pPr>
              <w:pStyle w:val="Prrafodelista"/>
              <w:numPr>
                <w:ilvl w:val="0"/>
                <w:numId w:val="7"/>
              </w:numPr>
              <w:jc w:val="both"/>
              <w:rPr>
                <w:rFonts w:eastAsia="Times New Roman" w:cstheme="minorHAnsi"/>
                <w:sz w:val="18"/>
                <w:szCs w:val="18"/>
                <w:lang w:eastAsia="es-ES"/>
              </w:rPr>
            </w:pPr>
            <w:r w:rsidRPr="008E3C0D">
              <w:rPr>
                <w:rFonts w:eastAsia="Times New Roman" w:cstheme="minorHAnsi"/>
                <w:sz w:val="18"/>
                <w:szCs w:val="18"/>
                <w:lang w:eastAsia="es-ES"/>
              </w:rPr>
              <w:t>Sistema de prestaciones de ayuda al alquiler para colectivos vulnerables:</w:t>
            </w:r>
          </w:p>
          <w:p w:rsidR="00553F64" w:rsidRDefault="00553F64" w:rsidP="00553F64">
            <w:pPr>
              <w:pStyle w:val="Prrafodelista"/>
              <w:numPr>
                <w:ilvl w:val="0"/>
                <w:numId w:val="6"/>
              </w:numPr>
              <w:jc w:val="both"/>
              <w:rPr>
                <w:rFonts w:eastAsia="Times New Roman" w:cstheme="minorHAnsi"/>
                <w:sz w:val="18"/>
                <w:szCs w:val="18"/>
                <w:lang w:eastAsia="es-ES"/>
              </w:rPr>
            </w:pPr>
            <w:r w:rsidRPr="00D32867">
              <w:rPr>
                <w:rFonts w:eastAsia="Times New Roman" w:cstheme="minorHAnsi"/>
                <w:sz w:val="18"/>
                <w:szCs w:val="18"/>
                <w:lang w:eastAsia="es-ES"/>
              </w:rPr>
              <w:t>prestaciones económicas de espe</w:t>
            </w:r>
            <w:r>
              <w:rPr>
                <w:rFonts w:eastAsia="Times New Roman" w:cstheme="minorHAnsi"/>
                <w:sz w:val="18"/>
                <w:szCs w:val="18"/>
                <w:lang w:eastAsia="es-ES"/>
              </w:rPr>
              <w:t>cial urgencia para la vivienda:</w:t>
            </w:r>
            <w:r w:rsidRPr="00D32867">
              <w:rPr>
                <w:rFonts w:eastAsia="Times New Roman" w:cstheme="minorHAnsi"/>
                <w:sz w:val="18"/>
                <w:szCs w:val="18"/>
                <w:lang w:eastAsia="es-ES"/>
              </w:rPr>
              <w:t xml:space="preserve"> se dirigen a personas en riesgo de exclusión social por peligrar su acceso a la vivienda. </w:t>
            </w:r>
          </w:p>
          <w:p w:rsidR="00553F64" w:rsidRPr="00617E10" w:rsidRDefault="00553F64" w:rsidP="00553F64">
            <w:pPr>
              <w:pStyle w:val="Prrafodelista"/>
              <w:numPr>
                <w:ilvl w:val="0"/>
                <w:numId w:val="6"/>
              </w:numPr>
              <w:jc w:val="both"/>
              <w:rPr>
                <w:rFonts w:eastAsia="Times New Roman" w:cstheme="minorHAnsi"/>
                <w:sz w:val="18"/>
                <w:szCs w:val="18"/>
                <w:lang w:eastAsia="es-ES"/>
              </w:rPr>
            </w:pPr>
            <w:r w:rsidRPr="00D32867">
              <w:rPr>
                <w:rFonts w:eastAsia="Times New Roman" w:cstheme="minorHAnsi"/>
                <w:sz w:val="18"/>
                <w:szCs w:val="18"/>
                <w:lang w:eastAsia="es-ES"/>
              </w:rPr>
              <w:t>prestacio</w:t>
            </w:r>
            <w:r>
              <w:rPr>
                <w:rFonts w:eastAsia="Times New Roman" w:cstheme="minorHAnsi"/>
                <w:sz w:val="18"/>
                <w:szCs w:val="18"/>
                <w:lang w:eastAsia="es-ES"/>
              </w:rPr>
              <w:t xml:space="preserve">nes para el pago del alquiler: </w:t>
            </w:r>
            <w:r w:rsidRPr="00D32867">
              <w:rPr>
                <w:rFonts w:eastAsia="Times New Roman" w:cstheme="minorHAnsi"/>
                <w:sz w:val="18"/>
                <w:szCs w:val="18"/>
                <w:lang w:eastAsia="es-ES"/>
              </w:rPr>
              <w:t xml:space="preserve">se destinan </w:t>
            </w:r>
            <w:r>
              <w:rPr>
                <w:rFonts w:eastAsia="Times New Roman" w:cstheme="minorHAnsi"/>
                <w:sz w:val="18"/>
                <w:szCs w:val="18"/>
                <w:lang w:eastAsia="es-ES"/>
              </w:rPr>
              <w:t>a</w:t>
            </w:r>
            <w:r w:rsidRPr="00D32867">
              <w:rPr>
                <w:rFonts w:eastAsia="Times New Roman" w:cstheme="minorHAnsi"/>
                <w:sz w:val="18"/>
                <w:szCs w:val="18"/>
                <w:lang w:eastAsia="es-ES"/>
              </w:rPr>
              <w:t xml:space="preserve"> hogares con ingresos bajos o moderados que tienen dificultades para hacer frente al pago de sus alquileres</w:t>
            </w:r>
            <w:r>
              <w:rPr>
                <w:rFonts w:eastAsia="Times New Roman" w:cstheme="minorHAnsi"/>
                <w:sz w:val="18"/>
                <w:szCs w:val="18"/>
                <w:lang w:eastAsia="es-ES"/>
              </w:rPr>
              <w:t>.</w:t>
            </w:r>
          </w:p>
        </w:tc>
        <w:tc>
          <w:tcPr>
            <w:tcW w:w="4772" w:type="dxa"/>
          </w:tcPr>
          <w:p w:rsidR="00553F64" w:rsidRDefault="00553F64" w:rsidP="00114710">
            <w:pPr>
              <w:pStyle w:val="Prrafodelista"/>
              <w:ind w:left="360"/>
              <w:jc w:val="both"/>
              <w:rPr>
                <w:rFonts w:eastAsia="Times New Roman" w:cstheme="minorHAnsi"/>
                <w:sz w:val="18"/>
                <w:szCs w:val="18"/>
                <w:lang w:eastAsia="es-ES"/>
              </w:rPr>
            </w:pPr>
          </w:p>
          <w:p w:rsidR="00553F64" w:rsidRPr="00E736ED"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Según el </w:t>
            </w:r>
            <w:r>
              <w:rPr>
                <w:sz w:val="18"/>
                <w:szCs w:val="18"/>
              </w:rPr>
              <w:t xml:space="preserve">Observatorio de Vivienda y Suelo, Cataluña registra, en términos relativos, el </w:t>
            </w:r>
            <w:r w:rsidRPr="00922C0B">
              <w:rPr>
                <w:sz w:val="18"/>
                <w:szCs w:val="18"/>
              </w:rPr>
              <w:t>mayor</w:t>
            </w:r>
            <w:r>
              <w:rPr>
                <w:sz w:val="18"/>
                <w:szCs w:val="18"/>
              </w:rPr>
              <w:t xml:space="preserve"> parque</w:t>
            </w:r>
            <w:r w:rsidRPr="00922C0B">
              <w:rPr>
                <w:sz w:val="18"/>
                <w:szCs w:val="18"/>
              </w:rPr>
              <w:t xml:space="preserve"> de vivienda protegida en arrendamiento respecto del total</w:t>
            </w:r>
            <w:r>
              <w:rPr>
                <w:sz w:val="18"/>
                <w:szCs w:val="18"/>
              </w:rPr>
              <w:t xml:space="preserve"> (33,6%).</w:t>
            </w:r>
          </w:p>
          <w:p w:rsidR="00553F64" w:rsidRPr="00E736ED" w:rsidRDefault="00553F64" w:rsidP="00114710">
            <w:pPr>
              <w:pStyle w:val="Prrafodelista"/>
              <w:ind w:left="360"/>
              <w:jc w:val="both"/>
              <w:rPr>
                <w:rFonts w:eastAsia="Times New Roman" w:cstheme="minorHAnsi"/>
                <w:sz w:val="18"/>
                <w:szCs w:val="18"/>
                <w:lang w:eastAsia="es-ES"/>
              </w:rPr>
            </w:pPr>
          </w:p>
        </w:tc>
      </w:tr>
      <w:tr w:rsidR="00553F64" w:rsidRPr="00B3026E" w:rsidTr="00114710">
        <w:trPr>
          <w:trHeight w:val="1131"/>
        </w:trPr>
        <w:tc>
          <w:tcPr>
            <w:tcW w:w="1980" w:type="dxa"/>
          </w:tcPr>
          <w:p w:rsidR="00553F64" w:rsidRDefault="00553F64" w:rsidP="00114710">
            <w:pPr>
              <w:jc w:val="both"/>
              <w:rPr>
                <w:sz w:val="18"/>
                <w:szCs w:val="18"/>
              </w:rPr>
            </w:pPr>
            <w:r>
              <w:rPr>
                <w:sz w:val="18"/>
                <w:szCs w:val="18"/>
              </w:rPr>
              <w:lastRenderedPageBreak/>
              <w:t>Madrid</w:t>
            </w:r>
          </w:p>
        </w:tc>
        <w:tc>
          <w:tcPr>
            <w:tcW w:w="8221" w:type="dxa"/>
          </w:tcPr>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I</w:t>
            </w:r>
            <w:r w:rsidRPr="00B634EC">
              <w:rPr>
                <w:rFonts w:eastAsia="Times New Roman" w:cstheme="minorHAnsi"/>
                <w:sz w:val="18"/>
                <w:szCs w:val="18"/>
                <w:lang w:eastAsia="es-ES"/>
              </w:rPr>
              <w:t>ntermediación entre propietarios e inquilinos</w:t>
            </w:r>
            <w:r>
              <w:rPr>
                <w:rFonts w:eastAsia="Times New Roman" w:cstheme="minorHAnsi"/>
                <w:sz w:val="18"/>
                <w:szCs w:val="18"/>
                <w:lang w:eastAsia="es-ES"/>
              </w:rPr>
              <w:t xml:space="preserve">: </w:t>
            </w:r>
            <w:r w:rsidRPr="00B634EC">
              <w:rPr>
                <w:rFonts w:eastAsia="Times New Roman" w:cstheme="minorHAnsi"/>
                <w:sz w:val="18"/>
                <w:szCs w:val="18"/>
                <w:lang w:eastAsia="es-ES"/>
              </w:rPr>
              <w:t>Plan Alquila</w:t>
            </w:r>
            <w:r>
              <w:rPr>
                <w:rFonts w:eastAsia="Times New Roman" w:cstheme="minorHAnsi"/>
                <w:sz w:val="18"/>
                <w:szCs w:val="18"/>
                <w:lang w:eastAsia="es-ES"/>
              </w:rPr>
              <w:t xml:space="preserve"> (2008) mediante el que la A</w:t>
            </w:r>
            <w:r w:rsidRPr="00B634EC">
              <w:rPr>
                <w:rFonts w:eastAsia="Times New Roman" w:cstheme="minorHAnsi"/>
                <w:sz w:val="18"/>
                <w:szCs w:val="18"/>
                <w:lang w:eastAsia="es-ES"/>
              </w:rPr>
              <w:t>dministración se compromet</w:t>
            </w:r>
            <w:r>
              <w:rPr>
                <w:rFonts w:eastAsia="Times New Roman" w:cstheme="minorHAnsi"/>
                <w:sz w:val="18"/>
                <w:szCs w:val="18"/>
                <w:lang w:eastAsia="es-ES"/>
              </w:rPr>
              <w:t>e</w:t>
            </w:r>
            <w:r w:rsidRPr="00B634EC">
              <w:rPr>
                <w:rFonts w:eastAsia="Times New Roman" w:cstheme="minorHAnsi"/>
                <w:sz w:val="18"/>
                <w:szCs w:val="18"/>
                <w:lang w:eastAsia="es-ES"/>
              </w:rPr>
              <w:t xml:space="preserve"> a gestionar y mediar </w:t>
            </w:r>
            <w:r>
              <w:rPr>
                <w:rFonts w:eastAsia="Times New Roman" w:cstheme="minorHAnsi"/>
                <w:sz w:val="18"/>
                <w:szCs w:val="18"/>
                <w:lang w:eastAsia="es-ES"/>
              </w:rPr>
              <w:t xml:space="preserve">en </w:t>
            </w:r>
            <w:r w:rsidRPr="00B634EC">
              <w:rPr>
                <w:rFonts w:eastAsia="Times New Roman" w:cstheme="minorHAnsi"/>
                <w:sz w:val="18"/>
                <w:szCs w:val="18"/>
                <w:lang w:eastAsia="es-ES"/>
              </w:rPr>
              <w:t>los contratos de arrendamiento entre propietarios e inquilinos.</w:t>
            </w:r>
          </w:p>
          <w:p w:rsidR="00553F64" w:rsidRPr="00855A81" w:rsidRDefault="00553F64" w:rsidP="00553F64">
            <w:pPr>
              <w:pStyle w:val="Prrafodelista"/>
              <w:numPr>
                <w:ilvl w:val="0"/>
                <w:numId w:val="7"/>
              </w:numPr>
              <w:jc w:val="both"/>
              <w:rPr>
                <w:rFonts w:eastAsia="Times New Roman" w:cstheme="minorHAnsi"/>
                <w:sz w:val="18"/>
                <w:szCs w:val="18"/>
                <w:lang w:eastAsia="es-ES"/>
              </w:rPr>
            </w:pPr>
            <w:r w:rsidRPr="00B634EC">
              <w:rPr>
                <w:rFonts w:eastAsia="Times New Roman" w:cstheme="minorHAnsi"/>
                <w:sz w:val="18"/>
                <w:szCs w:val="18"/>
                <w:lang w:eastAsia="es-ES"/>
              </w:rPr>
              <w:t>Promoción de vivienda asequible</w:t>
            </w:r>
            <w:r>
              <w:rPr>
                <w:rFonts w:eastAsia="Times New Roman" w:cstheme="minorHAnsi"/>
                <w:sz w:val="18"/>
                <w:szCs w:val="18"/>
                <w:lang w:eastAsia="es-ES"/>
              </w:rPr>
              <w:t xml:space="preserve">: Plan Vive Madrid, con una oferta de </w:t>
            </w:r>
            <w:r w:rsidRPr="00B634EC">
              <w:rPr>
                <w:rFonts w:eastAsia="Times New Roman" w:cstheme="minorHAnsi"/>
                <w:sz w:val="18"/>
                <w:szCs w:val="18"/>
                <w:lang w:eastAsia="es-ES"/>
              </w:rPr>
              <w:t>alquileres más bajos</w:t>
            </w:r>
            <w:r>
              <w:rPr>
                <w:rFonts w:eastAsia="Times New Roman" w:cstheme="minorHAnsi"/>
                <w:sz w:val="18"/>
                <w:szCs w:val="18"/>
                <w:lang w:eastAsia="es-ES"/>
              </w:rPr>
              <w:t xml:space="preserve"> (entre un 30% y un 40% por debajo del </w:t>
            </w:r>
            <w:r w:rsidRPr="00B634EC">
              <w:rPr>
                <w:rFonts w:eastAsia="Times New Roman" w:cstheme="minorHAnsi"/>
                <w:sz w:val="18"/>
                <w:szCs w:val="18"/>
                <w:lang w:eastAsia="es-ES"/>
              </w:rPr>
              <w:t>mercado</w:t>
            </w:r>
            <w:r>
              <w:rPr>
                <w:rFonts w:eastAsia="Times New Roman" w:cstheme="minorHAnsi"/>
                <w:sz w:val="18"/>
                <w:szCs w:val="18"/>
                <w:lang w:eastAsia="es-ES"/>
              </w:rPr>
              <w:t>) en</w:t>
            </w:r>
            <w:r w:rsidRPr="00B634EC">
              <w:rPr>
                <w:rFonts w:eastAsia="Times New Roman" w:cstheme="minorHAnsi"/>
                <w:sz w:val="18"/>
                <w:szCs w:val="18"/>
                <w:lang w:eastAsia="es-ES"/>
              </w:rPr>
              <w:t xml:space="preserve"> promociones de suelo público mediante concesiones administrativas en </w:t>
            </w:r>
            <w:r w:rsidRPr="006849A0">
              <w:rPr>
                <w:rFonts w:eastAsia="Times New Roman" w:cstheme="minorHAnsi"/>
                <w:sz w:val="18"/>
                <w:szCs w:val="18"/>
                <w:lang w:eastAsia="es-ES"/>
              </w:rPr>
              <w:t>colaboración público-privada</w:t>
            </w:r>
            <w:r>
              <w:rPr>
                <w:rFonts w:eastAsia="Times New Roman" w:cstheme="minorHAnsi"/>
                <w:sz w:val="18"/>
                <w:szCs w:val="18"/>
                <w:lang w:eastAsia="es-ES"/>
              </w:rPr>
              <w:t xml:space="preserve">. Las </w:t>
            </w:r>
            <w:r w:rsidRPr="00855A81">
              <w:rPr>
                <w:rFonts w:eastAsia="Times New Roman" w:cstheme="minorHAnsi"/>
                <w:sz w:val="18"/>
                <w:szCs w:val="18"/>
                <w:lang w:eastAsia="es-ES"/>
              </w:rPr>
              <w:t>rentas se referencian a los importes que se pueden cobrar por una vivienda protegid</w:t>
            </w:r>
            <w:r>
              <w:rPr>
                <w:rFonts w:eastAsia="Times New Roman" w:cstheme="minorHAnsi"/>
                <w:sz w:val="18"/>
                <w:szCs w:val="18"/>
                <w:lang w:eastAsia="es-ES"/>
              </w:rPr>
              <w:t xml:space="preserve">a </w:t>
            </w:r>
            <w:r w:rsidRPr="00855A81">
              <w:rPr>
                <w:rFonts w:eastAsia="Times New Roman" w:cstheme="minorHAnsi"/>
                <w:sz w:val="18"/>
                <w:szCs w:val="18"/>
                <w:lang w:eastAsia="es-ES"/>
              </w:rPr>
              <w:t>(Vivienda de Protec</w:t>
            </w:r>
            <w:r>
              <w:rPr>
                <w:rFonts w:eastAsia="Times New Roman" w:cstheme="minorHAnsi"/>
                <w:sz w:val="18"/>
                <w:szCs w:val="18"/>
                <w:lang w:eastAsia="es-ES"/>
              </w:rPr>
              <w:t>ción Pública de Precio Básico).</w:t>
            </w:r>
          </w:p>
        </w:tc>
        <w:tc>
          <w:tcPr>
            <w:tcW w:w="4772" w:type="dxa"/>
          </w:tcPr>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Actualmente el plan contempla </w:t>
            </w:r>
            <w:r w:rsidRPr="003212AB">
              <w:rPr>
                <w:rFonts w:eastAsia="Times New Roman" w:cstheme="minorHAnsi"/>
                <w:sz w:val="18"/>
                <w:szCs w:val="18"/>
                <w:lang w:eastAsia="es-ES"/>
              </w:rPr>
              <w:t xml:space="preserve">6.600 viviendas </w:t>
            </w:r>
            <w:r>
              <w:rPr>
                <w:rFonts w:eastAsia="Times New Roman" w:cstheme="minorHAnsi"/>
                <w:sz w:val="18"/>
                <w:szCs w:val="18"/>
                <w:lang w:eastAsia="es-ES"/>
              </w:rPr>
              <w:t xml:space="preserve">en alquiler asequible </w:t>
            </w:r>
            <w:r w:rsidRPr="003212AB">
              <w:rPr>
                <w:rFonts w:eastAsia="Times New Roman" w:cstheme="minorHAnsi"/>
                <w:sz w:val="18"/>
                <w:szCs w:val="18"/>
                <w:lang w:eastAsia="es-ES"/>
              </w:rPr>
              <w:t>en 12 municipios de la Comunidad de Madrid</w:t>
            </w:r>
            <w:r>
              <w:rPr>
                <w:rFonts w:eastAsia="Times New Roman" w:cstheme="minorHAnsi"/>
                <w:sz w:val="18"/>
                <w:szCs w:val="18"/>
                <w:lang w:eastAsia="es-ES"/>
              </w:rPr>
              <w:t>.</w:t>
            </w:r>
          </w:p>
        </w:tc>
      </w:tr>
      <w:tr w:rsidR="00553F64" w:rsidRPr="00B3026E" w:rsidTr="00114710">
        <w:tc>
          <w:tcPr>
            <w:tcW w:w="14973" w:type="dxa"/>
            <w:gridSpan w:val="3"/>
          </w:tcPr>
          <w:p w:rsidR="00553F64" w:rsidRPr="00B3026E" w:rsidRDefault="00553F64" w:rsidP="00114710">
            <w:pPr>
              <w:jc w:val="both"/>
              <w:rPr>
                <w:sz w:val="18"/>
                <w:szCs w:val="18"/>
              </w:rPr>
            </w:pPr>
            <w:r>
              <w:rPr>
                <w:sz w:val="18"/>
                <w:szCs w:val="18"/>
              </w:rPr>
              <w:t xml:space="preserve">Fuente: Elaboración propia a partir del </w:t>
            </w:r>
            <w:r w:rsidRPr="004E6F88">
              <w:rPr>
                <w:sz w:val="18"/>
                <w:szCs w:val="18"/>
              </w:rPr>
              <w:t>Boletín especial Vivienda Social 2020</w:t>
            </w:r>
            <w:r>
              <w:rPr>
                <w:sz w:val="18"/>
                <w:szCs w:val="18"/>
              </w:rPr>
              <w:t xml:space="preserve"> del Observatorio de Vivienda Social (</w:t>
            </w:r>
            <w:r w:rsidRPr="004E6F88">
              <w:rPr>
                <w:sz w:val="18"/>
                <w:szCs w:val="18"/>
              </w:rPr>
              <w:t>Ministerio de Transportes, Movilidad y Agenda Urbana</w:t>
            </w:r>
            <w:r>
              <w:rPr>
                <w:sz w:val="18"/>
                <w:szCs w:val="18"/>
              </w:rPr>
              <w:t>), La</w:t>
            </w:r>
            <w:r w:rsidRPr="000000FD">
              <w:rPr>
                <w:sz w:val="18"/>
                <w:szCs w:val="18"/>
              </w:rPr>
              <w:t xml:space="preserve"> vivienda protegida y el alquiler social en España</w:t>
            </w:r>
            <w:r>
              <w:rPr>
                <w:sz w:val="18"/>
                <w:szCs w:val="18"/>
              </w:rPr>
              <w:t xml:space="preserve"> (Defensor del Pueblo) e informes de política regional de vivienda de distintas CC.AA.</w:t>
            </w:r>
          </w:p>
        </w:tc>
      </w:tr>
    </w:tbl>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p w:rsidR="00553F64" w:rsidRDefault="00553F64" w:rsidP="00553F64"/>
    <w:tbl>
      <w:tblPr>
        <w:tblStyle w:val="Tablaconcuadrcula"/>
        <w:tblW w:w="14973" w:type="dxa"/>
        <w:tblLook w:val="04A0" w:firstRow="1" w:lastRow="0" w:firstColumn="1" w:lastColumn="0" w:noHBand="0" w:noVBand="1"/>
      </w:tblPr>
      <w:tblGrid>
        <w:gridCol w:w="2831"/>
        <w:gridCol w:w="7937"/>
        <w:gridCol w:w="4205"/>
      </w:tblGrid>
      <w:tr w:rsidR="00553F64" w:rsidRPr="00B3026E" w:rsidTr="00114710">
        <w:tc>
          <w:tcPr>
            <w:tcW w:w="14973" w:type="dxa"/>
            <w:gridSpan w:val="3"/>
          </w:tcPr>
          <w:p w:rsidR="00553F64" w:rsidRPr="00B3026E" w:rsidRDefault="00553F64" w:rsidP="00114710">
            <w:pPr>
              <w:jc w:val="center"/>
              <w:rPr>
                <w:sz w:val="18"/>
                <w:szCs w:val="18"/>
              </w:rPr>
            </w:pPr>
            <w:r>
              <w:rPr>
                <w:b/>
                <w:sz w:val="24"/>
                <w:szCs w:val="24"/>
              </w:rPr>
              <w:lastRenderedPageBreak/>
              <w:t>Políticas de vivienda social en otros países</w:t>
            </w:r>
          </w:p>
        </w:tc>
      </w:tr>
      <w:tr w:rsidR="00553F64" w:rsidRPr="00B3026E" w:rsidTr="00114710">
        <w:tc>
          <w:tcPr>
            <w:tcW w:w="2831" w:type="dxa"/>
          </w:tcPr>
          <w:p w:rsidR="00553F64" w:rsidRPr="00B3026E" w:rsidRDefault="00553F64" w:rsidP="00114710">
            <w:pPr>
              <w:jc w:val="center"/>
              <w:rPr>
                <w:b/>
                <w:sz w:val="18"/>
                <w:szCs w:val="18"/>
              </w:rPr>
            </w:pPr>
            <w:r>
              <w:rPr>
                <w:b/>
                <w:sz w:val="18"/>
                <w:szCs w:val="18"/>
              </w:rPr>
              <w:t>Ámbito</w:t>
            </w:r>
          </w:p>
        </w:tc>
        <w:tc>
          <w:tcPr>
            <w:tcW w:w="7937" w:type="dxa"/>
          </w:tcPr>
          <w:p w:rsidR="00553F64" w:rsidRPr="00B3026E" w:rsidRDefault="00553F64" w:rsidP="00114710">
            <w:pPr>
              <w:jc w:val="center"/>
              <w:rPr>
                <w:b/>
                <w:sz w:val="18"/>
                <w:szCs w:val="18"/>
              </w:rPr>
            </w:pPr>
            <w:r w:rsidRPr="00B3026E">
              <w:rPr>
                <w:b/>
                <w:sz w:val="18"/>
                <w:szCs w:val="18"/>
              </w:rPr>
              <w:t>Medidas</w:t>
            </w:r>
          </w:p>
        </w:tc>
        <w:tc>
          <w:tcPr>
            <w:tcW w:w="4205" w:type="dxa"/>
          </w:tcPr>
          <w:p w:rsidR="00553F64" w:rsidRPr="00B3026E" w:rsidRDefault="00553F64" w:rsidP="00114710">
            <w:pPr>
              <w:jc w:val="center"/>
              <w:rPr>
                <w:b/>
                <w:sz w:val="18"/>
                <w:szCs w:val="18"/>
              </w:rPr>
            </w:pPr>
            <w:r>
              <w:rPr>
                <w:b/>
                <w:sz w:val="18"/>
                <w:szCs w:val="18"/>
              </w:rPr>
              <w:t>Resultados</w:t>
            </w:r>
          </w:p>
        </w:tc>
      </w:tr>
      <w:tr w:rsidR="00553F64" w:rsidRPr="00B3026E" w:rsidTr="00114710">
        <w:tc>
          <w:tcPr>
            <w:tcW w:w="2831" w:type="dxa"/>
          </w:tcPr>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Pr="00B3026E" w:rsidRDefault="00553F64" w:rsidP="00114710">
            <w:pPr>
              <w:jc w:val="both"/>
              <w:rPr>
                <w:sz w:val="18"/>
                <w:szCs w:val="18"/>
              </w:rPr>
            </w:pPr>
            <w:r w:rsidRPr="00B3026E">
              <w:rPr>
                <w:sz w:val="18"/>
                <w:szCs w:val="18"/>
              </w:rPr>
              <w:t>Austria</w:t>
            </w:r>
          </w:p>
        </w:tc>
        <w:tc>
          <w:tcPr>
            <w:tcW w:w="7937" w:type="dxa"/>
          </w:tcPr>
          <w:p w:rsidR="00553F64" w:rsidRDefault="00553F64" w:rsidP="00553F64">
            <w:pPr>
              <w:pStyle w:val="Prrafodelista"/>
              <w:numPr>
                <w:ilvl w:val="0"/>
                <w:numId w:val="7"/>
              </w:numPr>
              <w:jc w:val="both"/>
              <w:rPr>
                <w:rFonts w:eastAsia="Times New Roman" w:cstheme="minorHAnsi"/>
                <w:sz w:val="18"/>
                <w:szCs w:val="18"/>
                <w:lang w:eastAsia="es-ES"/>
              </w:rPr>
            </w:pPr>
            <w:r w:rsidRPr="00085A61">
              <w:rPr>
                <w:rFonts w:eastAsia="Times New Roman" w:cstheme="minorHAnsi"/>
                <w:sz w:val="18"/>
                <w:szCs w:val="18"/>
                <w:lang w:eastAsia="es-ES"/>
              </w:rPr>
              <w:t xml:space="preserve">Austria gasta en vivienda social </w:t>
            </w:r>
            <w:r>
              <w:rPr>
                <w:rFonts w:eastAsia="Times New Roman" w:cstheme="minorHAnsi"/>
                <w:sz w:val="18"/>
                <w:szCs w:val="18"/>
                <w:lang w:eastAsia="es-ES"/>
              </w:rPr>
              <w:t>2.500 millones de euros al año.</w:t>
            </w:r>
          </w:p>
          <w:p w:rsidR="00553F64" w:rsidRPr="00085A61"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Financiación de la política de vivienda: la asumen </w:t>
            </w:r>
            <w:r w:rsidRPr="00085A61">
              <w:rPr>
                <w:rFonts w:eastAsia="Times New Roman" w:cstheme="minorHAnsi"/>
                <w:sz w:val="18"/>
                <w:szCs w:val="18"/>
                <w:lang w:eastAsia="es-ES"/>
              </w:rPr>
              <w:t xml:space="preserve">los trabajadores, que pagan el 1% de su salario bruto en concepto de contribución al subsidio de vivienda. </w:t>
            </w:r>
            <w:r>
              <w:rPr>
                <w:rFonts w:eastAsia="Times New Roman" w:cstheme="minorHAnsi"/>
                <w:sz w:val="18"/>
                <w:szCs w:val="18"/>
                <w:lang w:eastAsia="es-ES"/>
              </w:rPr>
              <w:t>L</w:t>
            </w:r>
            <w:r w:rsidRPr="00085A61">
              <w:rPr>
                <w:rFonts w:eastAsia="Times New Roman" w:cstheme="minorHAnsi"/>
                <w:sz w:val="18"/>
                <w:szCs w:val="18"/>
                <w:lang w:eastAsia="es-ES"/>
              </w:rPr>
              <w:t>a mayoría de la ciudadanía puede beneficiarse de la vivienda social, ya que los</w:t>
            </w:r>
            <w:r>
              <w:rPr>
                <w:rFonts w:eastAsia="Times New Roman" w:cstheme="minorHAnsi"/>
                <w:sz w:val="18"/>
                <w:szCs w:val="18"/>
                <w:lang w:eastAsia="es-ES"/>
              </w:rPr>
              <w:t xml:space="preserve"> niveles </w:t>
            </w:r>
            <w:r w:rsidRPr="00085A61">
              <w:rPr>
                <w:rFonts w:eastAsia="Times New Roman" w:cstheme="minorHAnsi"/>
                <w:sz w:val="18"/>
                <w:szCs w:val="18"/>
                <w:lang w:eastAsia="es-ES"/>
              </w:rPr>
              <w:t xml:space="preserve">de renta para acceder al alquiler social son </w:t>
            </w:r>
            <w:r>
              <w:rPr>
                <w:rFonts w:eastAsia="Times New Roman" w:cstheme="minorHAnsi"/>
                <w:sz w:val="18"/>
                <w:szCs w:val="18"/>
                <w:lang w:eastAsia="es-ES"/>
              </w:rPr>
              <w:t>elevados.</w:t>
            </w:r>
            <w:r w:rsidRPr="00085A61">
              <w:rPr>
                <w:rFonts w:eastAsia="Times New Roman" w:cstheme="minorHAnsi"/>
                <w:sz w:val="18"/>
                <w:szCs w:val="18"/>
                <w:lang w:eastAsia="es-ES"/>
              </w:rPr>
              <w:t xml:space="preserve"> </w:t>
            </w:r>
          </w:p>
          <w:p w:rsidR="00553F64" w:rsidRDefault="00553F64" w:rsidP="00553F64">
            <w:pPr>
              <w:pStyle w:val="Prrafodelista"/>
              <w:numPr>
                <w:ilvl w:val="0"/>
                <w:numId w:val="7"/>
              </w:numPr>
              <w:jc w:val="both"/>
              <w:rPr>
                <w:rFonts w:eastAsia="Times New Roman" w:cstheme="minorHAnsi"/>
                <w:sz w:val="18"/>
                <w:szCs w:val="18"/>
                <w:lang w:eastAsia="es-ES"/>
              </w:rPr>
            </w:pPr>
            <w:r w:rsidRPr="00427A0A">
              <w:rPr>
                <w:rFonts w:eastAsia="Times New Roman" w:cstheme="minorHAnsi"/>
                <w:sz w:val="18"/>
                <w:szCs w:val="18"/>
                <w:lang w:eastAsia="es-ES"/>
              </w:rPr>
              <w:t>C</w:t>
            </w:r>
            <w:r w:rsidRPr="00C951A5">
              <w:rPr>
                <w:rFonts w:eastAsia="Times New Roman" w:cstheme="minorHAnsi"/>
                <w:sz w:val="18"/>
                <w:szCs w:val="18"/>
                <w:lang w:eastAsia="es-ES"/>
              </w:rPr>
              <w:t>olaboración público-privada</w:t>
            </w:r>
            <w:r w:rsidRPr="00B77ED3">
              <w:rPr>
                <w:rFonts w:eastAsia="Times New Roman" w:cstheme="minorHAnsi"/>
                <w:sz w:val="18"/>
                <w:szCs w:val="18"/>
                <w:lang w:eastAsia="es-ES"/>
              </w:rPr>
              <w:t xml:space="preserve">. </w:t>
            </w:r>
            <w:r>
              <w:rPr>
                <w:rFonts w:eastAsia="Times New Roman" w:cstheme="minorHAnsi"/>
                <w:sz w:val="18"/>
                <w:szCs w:val="18"/>
                <w:lang w:eastAsia="es-ES"/>
              </w:rPr>
              <w:t>L</w:t>
            </w:r>
            <w:r w:rsidRPr="00B77ED3">
              <w:rPr>
                <w:rFonts w:eastAsia="Times New Roman" w:cstheme="minorHAnsi"/>
                <w:sz w:val="18"/>
                <w:szCs w:val="18"/>
                <w:lang w:eastAsia="es-ES"/>
              </w:rPr>
              <w:t xml:space="preserve">as Administraciones </w:t>
            </w:r>
            <w:r>
              <w:rPr>
                <w:rFonts w:eastAsia="Times New Roman" w:cstheme="minorHAnsi"/>
                <w:sz w:val="18"/>
                <w:szCs w:val="18"/>
                <w:lang w:eastAsia="es-ES"/>
              </w:rPr>
              <w:t>P</w:t>
            </w:r>
            <w:r w:rsidRPr="00B77ED3">
              <w:rPr>
                <w:rFonts w:eastAsia="Times New Roman" w:cstheme="minorHAnsi"/>
                <w:sz w:val="18"/>
                <w:szCs w:val="18"/>
                <w:lang w:eastAsia="es-ES"/>
              </w:rPr>
              <w:t>úblicas</w:t>
            </w:r>
            <w:r>
              <w:rPr>
                <w:rFonts w:eastAsia="Times New Roman" w:cstheme="minorHAnsi"/>
                <w:sz w:val="18"/>
                <w:szCs w:val="18"/>
                <w:lang w:eastAsia="es-ES"/>
              </w:rPr>
              <w:t xml:space="preserve"> se apoyan en el sector privado:</w:t>
            </w:r>
            <w:r w:rsidRPr="00B77ED3">
              <w:rPr>
                <w:rFonts w:eastAsia="Times New Roman" w:cstheme="minorHAnsi"/>
                <w:sz w:val="18"/>
                <w:szCs w:val="18"/>
                <w:lang w:eastAsia="es-ES"/>
              </w:rPr>
              <w:t xml:space="preserve"> en las</w:t>
            </w:r>
            <w:r>
              <w:rPr>
                <w:rFonts w:eastAsia="Times New Roman" w:cstheme="minorHAnsi"/>
                <w:sz w:val="18"/>
                <w:szCs w:val="18"/>
                <w:lang w:eastAsia="es-ES"/>
              </w:rPr>
              <w:t xml:space="preserve"> Asociaciones</w:t>
            </w:r>
            <w:r w:rsidRPr="00B77ED3">
              <w:rPr>
                <w:rFonts w:eastAsia="Times New Roman" w:cstheme="minorHAnsi"/>
                <w:sz w:val="18"/>
                <w:szCs w:val="18"/>
                <w:lang w:eastAsia="es-ES"/>
              </w:rPr>
              <w:t xml:space="preserve"> de Viviendas de Beneficio Limitado</w:t>
            </w:r>
            <w:r>
              <w:rPr>
                <w:rFonts w:eastAsia="Times New Roman" w:cstheme="minorHAnsi"/>
                <w:sz w:val="18"/>
                <w:szCs w:val="18"/>
                <w:lang w:eastAsia="es-ES"/>
              </w:rPr>
              <w:t xml:space="preserve">, que </w:t>
            </w:r>
            <w:r w:rsidRPr="00B77ED3">
              <w:rPr>
                <w:rFonts w:eastAsia="Times New Roman" w:cstheme="minorHAnsi"/>
                <w:sz w:val="18"/>
                <w:szCs w:val="18"/>
                <w:lang w:eastAsia="es-ES"/>
              </w:rPr>
              <w:t>gestionan unas 650.000, es decir, el 40% del parque total de viviendas de alquiler y utilizan un modelo mixto de financiación que minimiza su coste, con solo un 30%-40% mediante préstamos públicos a bajo interés.</w:t>
            </w:r>
          </w:p>
          <w:p w:rsidR="00553F64" w:rsidRPr="00FE201C" w:rsidRDefault="00553F64" w:rsidP="00553F64">
            <w:pPr>
              <w:pStyle w:val="Prrafodelista"/>
              <w:numPr>
                <w:ilvl w:val="0"/>
                <w:numId w:val="7"/>
              </w:numPr>
              <w:jc w:val="both"/>
              <w:rPr>
                <w:rFonts w:eastAsia="Times New Roman" w:cstheme="minorHAnsi"/>
                <w:sz w:val="18"/>
                <w:szCs w:val="18"/>
                <w:lang w:eastAsia="es-ES"/>
              </w:rPr>
            </w:pPr>
            <w:r w:rsidRPr="00D43D62">
              <w:rPr>
                <w:rFonts w:eastAsia="Times New Roman" w:cstheme="minorHAnsi"/>
                <w:sz w:val="18"/>
                <w:szCs w:val="18"/>
                <w:lang w:eastAsia="es-ES"/>
              </w:rPr>
              <w:t xml:space="preserve">Toda vivienda social tiene que ofrecerse dentro de un marco fijado por un sistema de limitación de renta. Una vez respetado este criterio, la renta se establece calculando los costos de producción de la vivienda. </w:t>
            </w:r>
          </w:p>
        </w:tc>
        <w:tc>
          <w:tcPr>
            <w:tcW w:w="4205" w:type="dxa"/>
          </w:tcPr>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Austria tiene 10,3 viviendas sociales por cada 100 habitantes (3,8 en la media de la UE).</w:t>
            </w:r>
          </w:p>
          <w:p w:rsidR="00553F64" w:rsidRPr="0021631B" w:rsidRDefault="00553F64" w:rsidP="00553F64">
            <w:pPr>
              <w:pStyle w:val="Prrafodelista"/>
              <w:numPr>
                <w:ilvl w:val="0"/>
                <w:numId w:val="7"/>
              </w:numPr>
              <w:jc w:val="both"/>
              <w:rPr>
                <w:rFonts w:eastAsia="Times New Roman" w:cstheme="minorHAnsi"/>
                <w:sz w:val="18"/>
                <w:szCs w:val="18"/>
                <w:lang w:eastAsia="es-ES"/>
              </w:rPr>
            </w:pPr>
            <w:r w:rsidRPr="0021631B">
              <w:rPr>
                <w:rFonts w:eastAsia="Times New Roman" w:cstheme="minorHAnsi"/>
                <w:sz w:val="18"/>
                <w:szCs w:val="18"/>
                <w:lang w:eastAsia="es-ES"/>
              </w:rPr>
              <w:t>Porcentaje de vivienda social es el 24% sobre viviendas principales (9,3% en UE-28).</w:t>
            </w:r>
          </w:p>
          <w:p w:rsidR="00553F64" w:rsidRPr="00B3026E" w:rsidRDefault="00553F64" w:rsidP="00553F64">
            <w:pPr>
              <w:pStyle w:val="Prrafodelista"/>
              <w:numPr>
                <w:ilvl w:val="0"/>
                <w:numId w:val="7"/>
              </w:numPr>
              <w:jc w:val="both"/>
              <w:rPr>
                <w:rFonts w:eastAsia="Times New Roman" w:cstheme="minorHAnsi"/>
                <w:sz w:val="18"/>
                <w:szCs w:val="18"/>
                <w:lang w:eastAsia="es-ES"/>
              </w:rPr>
            </w:pPr>
            <w:r w:rsidRPr="0021631B">
              <w:rPr>
                <w:rFonts w:eastAsia="Times New Roman" w:cstheme="minorHAnsi"/>
                <w:sz w:val="18"/>
                <w:szCs w:val="18"/>
                <w:lang w:eastAsia="es-ES"/>
              </w:rPr>
              <w:t>El 55% de alquiler social sobre el stock total de viviendas de alquiler</w:t>
            </w:r>
          </w:p>
          <w:p w:rsidR="00553F64" w:rsidRPr="0021631B"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Según el Ayuntamiento de Viena, el </w:t>
            </w:r>
            <w:r w:rsidRPr="0021631B">
              <w:rPr>
                <w:rFonts w:eastAsia="Times New Roman" w:cstheme="minorHAnsi"/>
                <w:sz w:val="18"/>
                <w:szCs w:val="18"/>
                <w:lang w:eastAsia="es-ES"/>
              </w:rPr>
              <w:t xml:space="preserve">62% de los habitantes de </w:t>
            </w:r>
            <w:r>
              <w:rPr>
                <w:rFonts w:eastAsia="Times New Roman" w:cstheme="minorHAnsi"/>
                <w:sz w:val="18"/>
                <w:szCs w:val="18"/>
                <w:lang w:eastAsia="es-ES"/>
              </w:rPr>
              <w:t xml:space="preserve">la ciudad </w:t>
            </w:r>
            <w:r w:rsidRPr="0021631B">
              <w:rPr>
                <w:rFonts w:eastAsia="Times New Roman" w:cstheme="minorHAnsi"/>
                <w:sz w:val="18"/>
                <w:szCs w:val="18"/>
                <w:lang w:eastAsia="es-ES"/>
              </w:rPr>
              <w:t>residen en una vivienda social</w:t>
            </w:r>
            <w:r>
              <w:rPr>
                <w:rFonts w:eastAsia="Times New Roman" w:cstheme="minorHAnsi"/>
                <w:sz w:val="18"/>
                <w:szCs w:val="18"/>
                <w:lang w:eastAsia="es-ES"/>
              </w:rPr>
              <w:t>.</w:t>
            </w:r>
          </w:p>
          <w:p w:rsidR="00553F64" w:rsidRDefault="00553F64" w:rsidP="00114710">
            <w:pPr>
              <w:jc w:val="both"/>
              <w:rPr>
                <w:bCs/>
                <w:sz w:val="18"/>
                <w:szCs w:val="18"/>
              </w:rPr>
            </w:pPr>
          </w:p>
          <w:p w:rsidR="00553F64" w:rsidRPr="00037302" w:rsidRDefault="00553F64" w:rsidP="00114710">
            <w:pPr>
              <w:jc w:val="both"/>
              <w:rPr>
                <w:rFonts w:cstheme="minorHAnsi"/>
                <w:sz w:val="18"/>
                <w:szCs w:val="18"/>
              </w:rPr>
            </w:pPr>
          </w:p>
        </w:tc>
      </w:tr>
      <w:tr w:rsidR="00553F64" w:rsidRPr="00B3026E" w:rsidTr="00114710">
        <w:tc>
          <w:tcPr>
            <w:tcW w:w="2831" w:type="dxa"/>
          </w:tcPr>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Pr="00B3026E" w:rsidRDefault="00553F64" w:rsidP="00114710">
            <w:pPr>
              <w:jc w:val="both"/>
              <w:rPr>
                <w:sz w:val="18"/>
                <w:szCs w:val="18"/>
              </w:rPr>
            </w:pPr>
            <w:r w:rsidRPr="00B3026E">
              <w:rPr>
                <w:sz w:val="18"/>
                <w:szCs w:val="18"/>
              </w:rPr>
              <w:t>Países Bajos</w:t>
            </w:r>
          </w:p>
        </w:tc>
        <w:tc>
          <w:tcPr>
            <w:tcW w:w="7937" w:type="dxa"/>
          </w:tcPr>
          <w:p w:rsidR="00553F64" w:rsidRPr="005655C7"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M</w:t>
            </w:r>
            <w:r w:rsidRPr="005655C7">
              <w:rPr>
                <w:rFonts w:eastAsia="Times New Roman" w:cstheme="minorHAnsi"/>
                <w:sz w:val="18"/>
                <w:szCs w:val="18"/>
                <w:lang w:eastAsia="es-ES"/>
              </w:rPr>
              <w:t>arco normativo que aprovecha los espacios que no estaban pensados para ser utilizados como vivienda para reconvertirlos y darles uso de alquiler social</w:t>
            </w:r>
            <w:r>
              <w:rPr>
                <w:rFonts w:eastAsia="Times New Roman" w:cstheme="minorHAnsi"/>
                <w:sz w:val="18"/>
                <w:szCs w:val="18"/>
                <w:lang w:eastAsia="es-ES"/>
              </w:rPr>
              <w:t>.</w:t>
            </w:r>
          </w:p>
          <w:p w:rsidR="00553F64" w:rsidRPr="005655C7" w:rsidRDefault="00553F64" w:rsidP="00553F64">
            <w:pPr>
              <w:pStyle w:val="Prrafodelista"/>
              <w:numPr>
                <w:ilvl w:val="0"/>
                <w:numId w:val="7"/>
              </w:numPr>
              <w:jc w:val="both"/>
              <w:rPr>
                <w:rFonts w:eastAsia="Times New Roman" w:cstheme="minorHAnsi"/>
                <w:sz w:val="18"/>
                <w:szCs w:val="18"/>
                <w:lang w:eastAsia="es-ES"/>
              </w:rPr>
            </w:pPr>
            <w:r w:rsidRPr="005655C7">
              <w:rPr>
                <w:rFonts w:eastAsia="Times New Roman" w:cstheme="minorHAnsi"/>
                <w:sz w:val="18"/>
                <w:szCs w:val="18"/>
                <w:lang w:eastAsia="es-ES"/>
              </w:rPr>
              <w:t>Aprovechamiento de inmuebles con uso no residencial para convertirlos en vivienda.</w:t>
            </w:r>
          </w:p>
          <w:p w:rsidR="00553F64" w:rsidRPr="005655C7"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C</w:t>
            </w:r>
            <w:r w:rsidRPr="005655C7">
              <w:rPr>
                <w:rFonts w:eastAsia="Times New Roman" w:cstheme="minorHAnsi"/>
                <w:sz w:val="18"/>
                <w:szCs w:val="18"/>
                <w:lang w:eastAsia="es-ES"/>
              </w:rPr>
              <w:t xml:space="preserve">olaboración público-privada, ya que no solo intervienen las </w:t>
            </w:r>
            <w:r>
              <w:rPr>
                <w:rFonts w:eastAsia="Times New Roman" w:cstheme="minorHAnsi"/>
                <w:sz w:val="18"/>
                <w:szCs w:val="18"/>
                <w:lang w:eastAsia="es-ES"/>
              </w:rPr>
              <w:t>A</w:t>
            </w:r>
            <w:r w:rsidRPr="005655C7">
              <w:rPr>
                <w:rFonts w:eastAsia="Times New Roman" w:cstheme="minorHAnsi"/>
                <w:sz w:val="18"/>
                <w:szCs w:val="18"/>
                <w:lang w:eastAsia="es-ES"/>
              </w:rPr>
              <w:t>dministraciones, sino también las empresas de gestión del alquiler</w:t>
            </w:r>
            <w:r>
              <w:rPr>
                <w:rFonts w:eastAsia="Times New Roman" w:cstheme="minorHAnsi"/>
                <w:sz w:val="18"/>
                <w:szCs w:val="18"/>
                <w:lang w:eastAsia="es-ES"/>
              </w:rPr>
              <w:t>.</w:t>
            </w:r>
          </w:p>
          <w:p w:rsidR="00553F64" w:rsidRDefault="00553F64" w:rsidP="00553F64">
            <w:pPr>
              <w:pStyle w:val="Prrafodelista"/>
              <w:numPr>
                <w:ilvl w:val="0"/>
                <w:numId w:val="7"/>
              </w:numPr>
              <w:jc w:val="both"/>
              <w:rPr>
                <w:rFonts w:eastAsia="Times New Roman" w:cstheme="minorHAnsi"/>
                <w:sz w:val="18"/>
                <w:szCs w:val="18"/>
                <w:lang w:eastAsia="es-ES"/>
              </w:rPr>
            </w:pPr>
            <w:r w:rsidRPr="005655C7">
              <w:rPr>
                <w:rFonts w:eastAsia="Times New Roman" w:cstheme="minorHAnsi"/>
                <w:sz w:val="18"/>
                <w:szCs w:val="18"/>
                <w:lang w:eastAsia="es-ES"/>
              </w:rPr>
              <w:t>Uso temporal con un coste bajo de edificios vacíos, de forma que se pueda conceder la gestión de edificios vacíos a empresas denominadas de “gestión de vacantes” que se encargarán del arrendamiento temporal.</w:t>
            </w:r>
          </w:p>
          <w:p w:rsidR="00553F64" w:rsidRPr="006B472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Subsidios al alquiler de carácter universal.</w:t>
            </w:r>
          </w:p>
        </w:tc>
        <w:tc>
          <w:tcPr>
            <w:tcW w:w="4205" w:type="dxa"/>
          </w:tcPr>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Países Bajos tiene 12,5 viviendas sociales por cada 100 habitantes, el nivel más alto de la UE (3,8).</w:t>
            </w:r>
          </w:p>
          <w:p w:rsidR="00553F64" w:rsidRPr="00B3026E" w:rsidRDefault="00553F64" w:rsidP="00553F64">
            <w:pPr>
              <w:pStyle w:val="Prrafodelista"/>
              <w:numPr>
                <w:ilvl w:val="0"/>
                <w:numId w:val="7"/>
              </w:numPr>
              <w:jc w:val="both"/>
              <w:rPr>
                <w:rFonts w:eastAsia="Times New Roman" w:cstheme="minorHAnsi"/>
                <w:sz w:val="18"/>
                <w:szCs w:val="18"/>
                <w:lang w:eastAsia="es-ES"/>
              </w:rPr>
            </w:pPr>
            <w:r w:rsidRPr="00B3026E">
              <w:rPr>
                <w:rFonts w:eastAsia="Times New Roman" w:cstheme="minorHAnsi"/>
                <w:sz w:val="18"/>
                <w:szCs w:val="18"/>
                <w:lang w:eastAsia="es-ES"/>
              </w:rPr>
              <w:t xml:space="preserve">Han logrado reducir la ocupación ilegal </w:t>
            </w:r>
            <w:r>
              <w:rPr>
                <w:rFonts w:eastAsia="Times New Roman" w:cstheme="minorHAnsi"/>
                <w:sz w:val="18"/>
                <w:szCs w:val="18"/>
                <w:lang w:eastAsia="es-ES"/>
              </w:rPr>
              <w:t xml:space="preserve">en </w:t>
            </w:r>
            <w:r w:rsidRPr="00B3026E">
              <w:rPr>
                <w:rFonts w:eastAsia="Times New Roman" w:cstheme="minorHAnsi"/>
                <w:sz w:val="18"/>
                <w:szCs w:val="18"/>
                <w:lang w:eastAsia="es-ES"/>
              </w:rPr>
              <w:t>un tercio con ese marco normativo</w:t>
            </w:r>
            <w:r>
              <w:rPr>
                <w:rFonts w:eastAsia="Times New Roman" w:cstheme="minorHAnsi"/>
                <w:sz w:val="18"/>
                <w:szCs w:val="18"/>
                <w:lang w:eastAsia="es-ES"/>
              </w:rPr>
              <w:t>.</w:t>
            </w:r>
          </w:p>
          <w:p w:rsidR="00553F64" w:rsidRPr="002579F9" w:rsidRDefault="00553F64" w:rsidP="00553F64">
            <w:pPr>
              <w:pStyle w:val="Prrafodelista"/>
              <w:numPr>
                <w:ilvl w:val="0"/>
                <w:numId w:val="7"/>
              </w:numPr>
              <w:jc w:val="both"/>
              <w:rPr>
                <w:sz w:val="18"/>
                <w:szCs w:val="18"/>
              </w:rPr>
            </w:pPr>
            <w:r w:rsidRPr="0021631B">
              <w:rPr>
                <w:rFonts w:eastAsia="Times New Roman" w:cstheme="minorHAnsi"/>
                <w:sz w:val="18"/>
                <w:szCs w:val="18"/>
                <w:lang w:eastAsia="es-ES"/>
              </w:rPr>
              <w:t>Porcentaje de vivienda social es del 30% sobre viviendas principales (9,3% en UE-28)</w:t>
            </w:r>
          </w:p>
          <w:p w:rsidR="00553F64" w:rsidRPr="00B3026E" w:rsidRDefault="00553F64" w:rsidP="00553F64">
            <w:pPr>
              <w:pStyle w:val="Prrafodelista"/>
              <w:numPr>
                <w:ilvl w:val="0"/>
                <w:numId w:val="7"/>
              </w:numPr>
              <w:jc w:val="both"/>
              <w:rPr>
                <w:sz w:val="18"/>
                <w:szCs w:val="18"/>
              </w:rPr>
            </w:pPr>
            <w:r w:rsidRPr="002579F9">
              <w:rPr>
                <w:rFonts w:eastAsia="Times New Roman" w:cstheme="minorHAnsi"/>
                <w:sz w:val="18"/>
                <w:szCs w:val="18"/>
                <w:lang w:eastAsia="es-ES"/>
              </w:rPr>
              <w:t xml:space="preserve">En 2010, </w:t>
            </w:r>
            <w:r>
              <w:rPr>
                <w:rFonts w:eastAsia="Times New Roman" w:cstheme="minorHAnsi"/>
                <w:sz w:val="18"/>
                <w:szCs w:val="18"/>
                <w:lang w:eastAsia="es-ES"/>
              </w:rPr>
              <w:t xml:space="preserve">el </w:t>
            </w:r>
            <w:r w:rsidRPr="002579F9">
              <w:rPr>
                <w:rFonts w:eastAsia="Times New Roman" w:cstheme="minorHAnsi"/>
                <w:sz w:val="18"/>
                <w:szCs w:val="18"/>
                <w:lang w:eastAsia="es-ES"/>
              </w:rPr>
              <w:t>15% de los hogares hol</w:t>
            </w:r>
            <w:r>
              <w:rPr>
                <w:rFonts w:eastAsia="Times New Roman" w:cstheme="minorHAnsi"/>
                <w:sz w:val="18"/>
                <w:szCs w:val="18"/>
                <w:lang w:eastAsia="es-ES"/>
              </w:rPr>
              <w:t xml:space="preserve">andeses recibieron el subsidio de alquiler (con una </w:t>
            </w:r>
            <w:r w:rsidRPr="002579F9">
              <w:rPr>
                <w:rFonts w:eastAsia="Times New Roman" w:cstheme="minorHAnsi"/>
                <w:sz w:val="18"/>
                <w:szCs w:val="18"/>
                <w:lang w:eastAsia="es-ES"/>
              </w:rPr>
              <w:t xml:space="preserve">reducción del </w:t>
            </w:r>
            <w:r>
              <w:rPr>
                <w:rFonts w:eastAsia="Times New Roman" w:cstheme="minorHAnsi"/>
                <w:sz w:val="18"/>
                <w:szCs w:val="18"/>
                <w:lang w:eastAsia="es-ES"/>
              </w:rPr>
              <w:t xml:space="preserve">precio del </w:t>
            </w:r>
            <w:r w:rsidRPr="002579F9">
              <w:rPr>
                <w:rFonts w:eastAsia="Times New Roman" w:cstheme="minorHAnsi"/>
                <w:sz w:val="18"/>
                <w:szCs w:val="18"/>
                <w:lang w:eastAsia="es-ES"/>
              </w:rPr>
              <w:t>alquiler del 41%</w:t>
            </w:r>
            <w:r>
              <w:rPr>
                <w:rFonts w:eastAsia="Times New Roman" w:cstheme="minorHAnsi"/>
                <w:sz w:val="18"/>
                <w:szCs w:val="18"/>
                <w:lang w:eastAsia="es-ES"/>
              </w:rPr>
              <w:t>).</w:t>
            </w:r>
          </w:p>
        </w:tc>
      </w:tr>
      <w:tr w:rsidR="00553F64" w:rsidRPr="00B3026E" w:rsidTr="00114710">
        <w:tc>
          <w:tcPr>
            <w:tcW w:w="2831" w:type="dxa"/>
          </w:tcPr>
          <w:p w:rsidR="00553F64" w:rsidRDefault="00553F64" w:rsidP="00114710">
            <w:pPr>
              <w:jc w:val="both"/>
              <w:rPr>
                <w:sz w:val="18"/>
                <w:szCs w:val="18"/>
              </w:rPr>
            </w:pPr>
          </w:p>
          <w:p w:rsidR="00553F64" w:rsidRDefault="00553F64" w:rsidP="00114710">
            <w:pPr>
              <w:jc w:val="both"/>
              <w:rPr>
                <w:sz w:val="18"/>
                <w:szCs w:val="18"/>
              </w:rPr>
            </w:pPr>
          </w:p>
          <w:p w:rsidR="00553F64" w:rsidRPr="00B3026E" w:rsidRDefault="00553F64" w:rsidP="00114710">
            <w:pPr>
              <w:jc w:val="both"/>
              <w:rPr>
                <w:sz w:val="18"/>
                <w:szCs w:val="18"/>
              </w:rPr>
            </w:pPr>
            <w:r>
              <w:rPr>
                <w:sz w:val="18"/>
                <w:szCs w:val="18"/>
              </w:rPr>
              <w:t>Dinamarca</w:t>
            </w:r>
          </w:p>
        </w:tc>
        <w:tc>
          <w:tcPr>
            <w:tcW w:w="7937" w:type="dxa"/>
          </w:tcPr>
          <w:p w:rsidR="00553F64" w:rsidRPr="0015770A" w:rsidRDefault="00553F64" w:rsidP="00553F64">
            <w:pPr>
              <w:pStyle w:val="Prrafodelista"/>
              <w:numPr>
                <w:ilvl w:val="0"/>
                <w:numId w:val="7"/>
              </w:numPr>
              <w:jc w:val="both"/>
              <w:rPr>
                <w:rFonts w:eastAsia="Times New Roman" w:cstheme="minorHAnsi"/>
                <w:sz w:val="18"/>
                <w:szCs w:val="18"/>
                <w:lang w:eastAsia="es-ES"/>
              </w:rPr>
            </w:pPr>
            <w:r w:rsidRPr="0015770A">
              <w:rPr>
                <w:rFonts w:eastAsia="Times New Roman" w:cstheme="minorHAnsi"/>
                <w:sz w:val="18"/>
                <w:szCs w:val="18"/>
                <w:lang w:eastAsia="es-ES"/>
              </w:rPr>
              <w:t>El precio del alquiler se calcula en función del costo de la vivienda</w:t>
            </w:r>
            <w:r>
              <w:rPr>
                <w:rFonts w:eastAsia="Times New Roman" w:cstheme="minorHAnsi"/>
                <w:sz w:val="18"/>
                <w:szCs w:val="18"/>
                <w:lang w:eastAsia="es-ES"/>
              </w:rPr>
              <w:t>.</w:t>
            </w:r>
          </w:p>
          <w:p w:rsidR="00553F64" w:rsidRPr="0015770A" w:rsidRDefault="00553F64" w:rsidP="00553F64">
            <w:pPr>
              <w:pStyle w:val="Prrafodelista"/>
              <w:numPr>
                <w:ilvl w:val="0"/>
                <w:numId w:val="7"/>
              </w:numPr>
              <w:jc w:val="both"/>
              <w:rPr>
                <w:rFonts w:eastAsia="Times New Roman" w:cstheme="minorHAnsi"/>
                <w:sz w:val="18"/>
                <w:szCs w:val="18"/>
                <w:lang w:eastAsia="es-ES"/>
              </w:rPr>
            </w:pPr>
            <w:r w:rsidRPr="0015770A">
              <w:rPr>
                <w:rFonts w:eastAsia="Times New Roman" w:cstheme="minorHAnsi"/>
                <w:sz w:val="18"/>
                <w:szCs w:val="18"/>
                <w:lang w:eastAsia="es-ES"/>
              </w:rPr>
              <w:t>Aquellas personas que no puedan pagar la renta de alquiler pueden optar a subsidios individuales de vivienda en su municipio</w:t>
            </w:r>
            <w:r>
              <w:rPr>
                <w:rFonts w:eastAsia="Times New Roman" w:cstheme="minorHAnsi"/>
                <w:sz w:val="18"/>
                <w:szCs w:val="18"/>
                <w:lang w:eastAsia="es-ES"/>
              </w:rPr>
              <w:t>.</w:t>
            </w:r>
          </w:p>
          <w:p w:rsidR="00553F64" w:rsidRPr="0015770A"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El acceso a</w:t>
            </w:r>
            <w:r w:rsidRPr="0015770A">
              <w:rPr>
                <w:rFonts w:eastAsia="Times New Roman" w:cstheme="minorHAnsi"/>
                <w:sz w:val="18"/>
                <w:szCs w:val="18"/>
                <w:lang w:eastAsia="es-ES"/>
              </w:rPr>
              <w:t xml:space="preserve"> viviendas sociales es universal, no existen límites de ingresos</w:t>
            </w:r>
            <w:r>
              <w:rPr>
                <w:rFonts w:eastAsia="Times New Roman" w:cstheme="minorHAnsi"/>
                <w:sz w:val="18"/>
                <w:szCs w:val="18"/>
                <w:lang w:eastAsia="es-ES"/>
              </w:rPr>
              <w:t>.</w:t>
            </w:r>
          </w:p>
          <w:p w:rsidR="00553F64" w:rsidRPr="0015770A" w:rsidRDefault="00553F64" w:rsidP="00553F64">
            <w:pPr>
              <w:pStyle w:val="Prrafodelista"/>
              <w:numPr>
                <w:ilvl w:val="0"/>
                <w:numId w:val="7"/>
              </w:numPr>
              <w:jc w:val="both"/>
              <w:rPr>
                <w:rFonts w:eastAsia="Times New Roman" w:cstheme="minorHAnsi"/>
                <w:sz w:val="18"/>
                <w:szCs w:val="18"/>
                <w:lang w:eastAsia="es-ES"/>
              </w:rPr>
            </w:pPr>
            <w:r w:rsidRPr="0015770A">
              <w:rPr>
                <w:rFonts w:eastAsia="Times New Roman" w:cstheme="minorHAnsi"/>
                <w:sz w:val="18"/>
                <w:szCs w:val="18"/>
                <w:lang w:eastAsia="es-ES"/>
              </w:rPr>
              <w:t>Existen unas 700 asociaciones de vivienda sin ánimo de lucro que proveen vivienda en alquiler</w:t>
            </w:r>
            <w:r>
              <w:rPr>
                <w:rFonts w:eastAsia="Times New Roman" w:cstheme="minorHAnsi"/>
                <w:sz w:val="18"/>
                <w:szCs w:val="18"/>
                <w:lang w:eastAsia="es-ES"/>
              </w:rPr>
              <w:t>.</w:t>
            </w:r>
          </w:p>
          <w:p w:rsidR="00553F64" w:rsidRPr="0015770A"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La </w:t>
            </w:r>
            <w:r w:rsidRPr="0015770A">
              <w:rPr>
                <w:rFonts w:eastAsia="Times New Roman" w:cstheme="minorHAnsi"/>
                <w:sz w:val="18"/>
                <w:szCs w:val="18"/>
                <w:lang w:eastAsia="es-ES"/>
              </w:rPr>
              <w:t>financiación de la vivienda social incluye a varios actores, pero la mayor parte del dinero proviene de préstamos bancarios contraídos por las asociaciones de vivienda (hasta el 91% del total).</w:t>
            </w:r>
          </w:p>
        </w:tc>
        <w:tc>
          <w:tcPr>
            <w:tcW w:w="4205" w:type="dxa"/>
          </w:tcPr>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L</w:t>
            </w:r>
            <w:r w:rsidRPr="0015770A">
              <w:rPr>
                <w:rFonts w:eastAsia="Times New Roman" w:cstheme="minorHAnsi"/>
                <w:sz w:val="18"/>
                <w:szCs w:val="18"/>
                <w:lang w:eastAsia="es-ES"/>
              </w:rPr>
              <w:t>a vivienda social representa un 20% del total del parque de vivienda</w:t>
            </w:r>
            <w:r>
              <w:rPr>
                <w:rFonts w:eastAsia="Times New Roman" w:cstheme="minorHAnsi"/>
                <w:sz w:val="18"/>
                <w:szCs w:val="18"/>
                <w:lang w:eastAsia="es-ES"/>
              </w:rPr>
              <w:t>.</w:t>
            </w:r>
          </w:p>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Dinamarca tiene 9,5 viviendas sociales por cada 100 habitantes (3,8 en la media de la UE).</w:t>
            </w:r>
          </w:p>
          <w:p w:rsidR="00553F64" w:rsidRPr="0015770A" w:rsidRDefault="00553F64" w:rsidP="00114710">
            <w:pPr>
              <w:pStyle w:val="Prrafodelista"/>
              <w:ind w:left="360"/>
              <w:jc w:val="both"/>
              <w:rPr>
                <w:rFonts w:eastAsia="Times New Roman" w:cstheme="minorHAnsi"/>
                <w:sz w:val="18"/>
                <w:szCs w:val="18"/>
                <w:lang w:eastAsia="es-ES"/>
              </w:rPr>
            </w:pPr>
          </w:p>
        </w:tc>
      </w:tr>
      <w:tr w:rsidR="00553F64" w:rsidRPr="00B3026E" w:rsidTr="00114710">
        <w:tc>
          <w:tcPr>
            <w:tcW w:w="2831" w:type="dxa"/>
          </w:tcPr>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r w:rsidRPr="00B3026E">
              <w:rPr>
                <w:sz w:val="18"/>
                <w:szCs w:val="18"/>
              </w:rPr>
              <w:t>Suecia</w:t>
            </w:r>
          </w:p>
        </w:tc>
        <w:tc>
          <w:tcPr>
            <w:tcW w:w="7937" w:type="dxa"/>
          </w:tcPr>
          <w:p w:rsidR="00553F64" w:rsidRPr="0032589C" w:rsidRDefault="00553F64" w:rsidP="00553F64">
            <w:pPr>
              <w:pStyle w:val="Prrafodelista"/>
              <w:numPr>
                <w:ilvl w:val="0"/>
                <w:numId w:val="7"/>
              </w:numPr>
              <w:jc w:val="both"/>
              <w:rPr>
                <w:rFonts w:eastAsia="Times New Roman" w:cstheme="minorHAnsi"/>
                <w:sz w:val="18"/>
                <w:szCs w:val="18"/>
                <w:lang w:eastAsia="es-ES"/>
              </w:rPr>
            </w:pPr>
            <w:r w:rsidRPr="0022651F">
              <w:rPr>
                <w:rFonts w:eastAsia="Times New Roman" w:cstheme="minorHAnsi"/>
                <w:sz w:val="18"/>
                <w:szCs w:val="18"/>
                <w:lang w:eastAsia="es-ES"/>
              </w:rPr>
              <w:t>Sistema universal</w:t>
            </w:r>
            <w:r>
              <w:rPr>
                <w:rFonts w:eastAsia="Times New Roman" w:cstheme="minorHAnsi"/>
                <w:sz w:val="18"/>
                <w:szCs w:val="18"/>
                <w:lang w:eastAsia="es-ES"/>
              </w:rPr>
              <w:t>, n</w:t>
            </w:r>
            <w:r w:rsidRPr="0022651F">
              <w:rPr>
                <w:rFonts w:eastAsia="Times New Roman" w:cstheme="minorHAnsi"/>
                <w:sz w:val="18"/>
                <w:szCs w:val="18"/>
                <w:lang w:eastAsia="es-ES"/>
              </w:rPr>
              <w:t>o hay límite de ingreso</w:t>
            </w:r>
            <w:r>
              <w:rPr>
                <w:rFonts w:eastAsia="Times New Roman" w:cstheme="minorHAnsi"/>
                <w:sz w:val="18"/>
                <w:szCs w:val="18"/>
                <w:lang w:eastAsia="es-ES"/>
              </w:rPr>
              <w:t>s para acceder a las viviendas</w:t>
            </w:r>
            <w:r w:rsidRPr="0022651F">
              <w:rPr>
                <w:rFonts w:eastAsia="Times New Roman" w:cstheme="minorHAnsi"/>
                <w:sz w:val="18"/>
                <w:szCs w:val="18"/>
                <w:lang w:eastAsia="es-ES"/>
              </w:rPr>
              <w:t xml:space="preserve"> y el estatus de ocupación bajo el que se ofrecen las viviendas municipales es en alquiler.</w:t>
            </w:r>
          </w:p>
          <w:p w:rsidR="00553F64" w:rsidRPr="009115C6" w:rsidRDefault="00553F64" w:rsidP="00553F64">
            <w:pPr>
              <w:pStyle w:val="Prrafodelista"/>
              <w:numPr>
                <w:ilvl w:val="0"/>
                <w:numId w:val="7"/>
              </w:numPr>
              <w:jc w:val="both"/>
              <w:rPr>
                <w:rFonts w:eastAsia="Times New Roman" w:cstheme="minorHAnsi"/>
                <w:sz w:val="18"/>
                <w:szCs w:val="18"/>
                <w:lang w:eastAsia="es-ES"/>
              </w:rPr>
            </w:pPr>
            <w:r w:rsidRPr="0022651F">
              <w:rPr>
                <w:rFonts w:eastAsia="Times New Roman" w:cstheme="minorHAnsi"/>
                <w:sz w:val="18"/>
                <w:szCs w:val="18"/>
                <w:lang w:eastAsia="es-ES"/>
              </w:rPr>
              <w:t>Existen dos ti</w:t>
            </w:r>
            <w:r>
              <w:rPr>
                <w:rFonts w:eastAsia="Times New Roman" w:cstheme="minorHAnsi"/>
                <w:sz w:val="18"/>
                <w:szCs w:val="18"/>
                <w:lang w:eastAsia="es-ES"/>
              </w:rPr>
              <w:t>pos fundamentales de operadores:</w:t>
            </w:r>
            <w:r w:rsidRPr="0022651F">
              <w:rPr>
                <w:rFonts w:eastAsia="Times New Roman" w:cstheme="minorHAnsi"/>
                <w:sz w:val="18"/>
                <w:szCs w:val="18"/>
                <w:lang w:eastAsia="es-ES"/>
              </w:rPr>
              <w:t xml:space="preserve"> vinculados con los ayuntamientos y los propios inquilinos que se organizan en cooperativas</w:t>
            </w:r>
            <w:r w:rsidRPr="002D62FC">
              <w:rPr>
                <w:rFonts w:eastAsia="Times New Roman" w:cstheme="minorHAnsi"/>
                <w:sz w:val="18"/>
                <w:szCs w:val="18"/>
                <w:lang w:eastAsia="es-ES"/>
              </w:rPr>
              <w:t xml:space="preserve"> de uso </w:t>
            </w:r>
            <w:r>
              <w:rPr>
                <w:rFonts w:eastAsia="Times New Roman" w:cstheme="minorHAnsi"/>
                <w:sz w:val="18"/>
                <w:szCs w:val="18"/>
                <w:lang w:eastAsia="es-ES"/>
              </w:rPr>
              <w:t xml:space="preserve">para la gestión del </w:t>
            </w:r>
            <w:r w:rsidRPr="002D62FC">
              <w:rPr>
                <w:rFonts w:eastAsia="Times New Roman" w:cstheme="minorHAnsi"/>
                <w:sz w:val="18"/>
                <w:szCs w:val="18"/>
                <w:lang w:eastAsia="es-ES"/>
              </w:rPr>
              <w:t>alquiler</w:t>
            </w:r>
            <w:r>
              <w:rPr>
                <w:rFonts w:eastAsia="Times New Roman" w:cstheme="minorHAnsi"/>
                <w:sz w:val="18"/>
                <w:szCs w:val="18"/>
                <w:lang w:eastAsia="es-ES"/>
              </w:rPr>
              <w:t xml:space="preserve"> de vivienda</w:t>
            </w:r>
            <w:r w:rsidRPr="0022651F">
              <w:rPr>
                <w:rFonts w:eastAsia="Times New Roman" w:cstheme="minorHAnsi"/>
                <w:sz w:val="18"/>
                <w:szCs w:val="18"/>
                <w:lang w:eastAsia="es-ES"/>
              </w:rPr>
              <w:t xml:space="preserve">. </w:t>
            </w:r>
          </w:p>
          <w:p w:rsidR="00553F64" w:rsidRPr="0032589C"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La</w:t>
            </w:r>
            <w:r w:rsidRPr="0022651F">
              <w:rPr>
                <w:rFonts w:eastAsia="Times New Roman" w:cstheme="minorHAnsi"/>
                <w:sz w:val="18"/>
                <w:szCs w:val="18"/>
                <w:lang w:eastAsia="es-ES"/>
              </w:rPr>
              <w:t xml:space="preserve"> ley </w:t>
            </w:r>
            <w:r>
              <w:rPr>
                <w:rFonts w:eastAsia="Times New Roman" w:cstheme="minorHAnsi"/>
                <w:sz w:val="18"/>
                <w:szCs w:val="18"/>
                <w:lang w:eastAsia="es-ES"/>
              </w:rPr>
              <w:t xml:space="preserve">establece </w:t>
            </w:r>
            <w:r w:rsidRPr="0022651F">
              <w:rPr>
                <w:rFonts w:eastAsia="Times New Roman" w:cstheme="minorHAnsi"/>
                <w:sz w:val="18"/>
                <w:szCs w:val="18"/>
                <w:lang w:eastAsia="es-ES"/>
              </w:rPr>
              <w:t>el “principio de utilidad”</w:t>
            </w:r>
            <w:r>
              <w:rPr>
                <w:rFonts w:eastAsia="Times New Roman" w:cstheme="minorHAnsi"/>
                <w:sz w:val="18"/>
                <w:szCs w:val="18"/>
                <w:lang w:eastAsia="es-ES"/>
              </w:rPr>
              <w:t>,</w:t>
            </w:r>
            <w:r w:rsidRPr="0022651F">
              <w:rPr>
                <w:rFonts w:eastAsia="Times New Roman" w:cstheme="minorHAnsi"/>
                <w:sz w:val="18"/>
                <w:szCs w:val="18"/>
                <w:lang w:eastAsia="es-ES"/>
              </w:rPr>
              <w:t xml:space="preserve"> que impone que viviendas con la misma utilidad tienen que situar sus rentas dentro de un tramo.</w:t>
            </w:r>
          </w:p>
          <w:p w:rsidR="00553F64" w:rsidRPr="000C5972"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El </w:t>
            </w:r>
            <w:r w:rsidRPr="0022651F">
              <w:rPr>
                <w:rFonts w:eastAsia="Times New Roman" w:cstheme="minorHAnsi"/>
                <w:sz w:val="18"/>
                <w:szCs w:val="18"/>
                <w:lang w:eastAsia="es-ES"/>
              </w:rPr>
              <w:t xml:space="preserve">sistema </w:t>
            </w:r>
            <w:r>
              <w:rPr>
                <w:rFonts w:eastAsia="Times New Roman" w:cstheme="minorHAnsi"/>
                <w:sz w:val="18"/>
                <w:szCs w:val="18"/>
                <w:lang w:eastAsia="es-ES"/>
              </w:rPr>
              <w:t>se</w:t>
            </w:r>
            <w:r w:rsidRPr="0022651F">
              <w:rPr>
                <w:rFonts w:eastAsia="Times New Roman" w:cstheme="minorHAnsi"/>
                <w:sz w:val="18"/>
                <w:szCs w:val="18"/>
                <w:lang w:eastAsia="es-ES"/>
              </w:rPr>
              <w:t xml:space="preserve"> complementa con una financiación que asocia las ayudas públicas con los préstamos de </w:t>
            </w:r>
            <w:r>
              <w:rPr>
                <w:rFonts w:eastAsia="Times New Roman" w:cstheme="minorHAnsi"/>
                <w:sz w:val="18"/>
                <w:szCs w:val="18"/>
                <w:lang w:eastAsia="es-ES"/>
              </w:rPr>
              <w:t xml:space="preserve">la </w:t>
            </w:r>
            <w:r w:rsidRPr="0022651F">
              <w:rPr>
                <w:rFonts w:eastAsia="Times New Roman" w:cstheme="minorHAnsi"/>
                <w:sz w:val="18"/>
                <w:szCs w:val="18"/>
                <w:lang w:eastAsia="es-ES"/>
              </w:rPr>
              <w:t>banc</w:t>
            </w:r>
            <w:r>
              <w:rPr>
                <w:rFonts w:eastAsia="Times New Roman" w:cstheme="minorHAnsi"/>
                <w:sz w:val="18"/>
                <w:szCs w:val="18"/>
                <w:lang w:eastAsia="es-ES"/>
              </w:rPr>
              <w:t>a</w:t>
            </w:r>
            <w:r w:rsidRPr="0022651F">
              <w:rPr>
                <w:rFonts w:eastAsia="Times New Roman" w:cstheme="minorHAnsi"/>
                <w:sz w:val="18"/>
                <w:szCs w:val="18"/>
                <w:lang w:eastAsia="es-ES"/>
              </w:rPr>
              <w:t xml:space="preserve"> comercial.</w:t>
            </w:r>
          </w:p>
          <w:p w:rsidR="00553F64" w:rsidRPr="0015770A" w:rsidRDefault="00553F64" w:rsidP="00553F64">
            <w:pPr>
              <w:pStyle w:val="Prrafodelista"/>
              <w:numPr>
                <w:ilvl w:val="0"/>
                <w:numId w:val="7"/>
              </w:numPr>
              <w:jc w:val="both"/>
              <w:rPr>
                <w:rFonts w:eastAsia="Times New Roman" w:cstheme="minorHAnsi"/>
                <w:sz w:val="18"/>
                <w:szCs w:val="18"/>
                <w:lang w:eastAsia="es-ES"/>
              </w:rPr>
            </w:pPr>
            <w:r w:rsidRPr="0022651F">
              <w:rPr>
                <w:rFonts w:eastAsia="Times New Roman" w:cstheme="minorHAnsi"/>
                <w:sz w:val="18"/>
                <w:szCs w:val="18"/>
                <w:lang w:eastAsia="es-ES"/>
              </w:rPr>
              <w:lastRenderedPageBreak/>
              <w:t xml:space="preserve">El </w:t>
            </w:r>
            <w:r>
              <w:rPr>
                <w:rFonts w:eastAsia="Times New Roman" w:cstheme="minorHAnsi"/>
                <w:sz w:val="18"/>
                <w:szCs w:val="18"/>
                <w:lang w:eastAsia="es-ES"/>
              </w:rPr>
              <w:t xml:space="preserve">papel de </w:t>
            </w:r>
            <w:r w:rsidRPr="0022651F">
              <w:rPr>
                <w:rFonts w:eastAsia="Times New Roman" w:cstheme="minorHAnsi"/>
                <w:sz w:val="18"/>
                <w:szCs w:val="18"/>
                <w:lang w:eastAsia="es-ES"/>
              </w:rPr>
              <w:t xml:space="preserve">los operadores comerciales es fundamental ya que no existen fondos públicos para la construcción de vivienda. Las aportaciones de los cooperativistas – no todos son inquilinos – permiten financiar parte de los costes de construcción de las viviendas. </w:t>
            </w:r>
            <w:r>
              <w:rPr>
                <w:rFonts w:eastAsia="Times New Roman" w:cstheme="minorHAnsi"/>
                <w:sz w:val="18"/>
                <w:szCs w:val="18"/>
                <w:lang w:eastAsia="es-ES"/>
              </w:rPr>
              <w:t>L</w:t>
            </w:r>
            <w:r w:rsidRPr="0022651F">
              <w:rPr>
                <w:rFonts w:eastAsia="Times New Roman" w:cstheme="minorHAnsi"/>
                <w:sz w:val="18"/>
                <w:szCs w:val="18"/>
                <w:lang w:eastAsia="es-ES"/>
              </w:rPr>
              <w:t>o que se vende es la participación y no la vivienda como tal.</w:t>
            </w:r>
          </w:p>
        </w:tc>
        <w:tc>
          <w:tcPr>
            <w:tcW w:w="4205" w:type="dxa"/>
          </w:tcPr>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lastRenderedPageBreak/>
              <w:t>Suecia tiene 8 viviendas sociales por cada 100 habitantes (3,8 en la media de la UE).</w:t>
            </w:r>
          </w:p>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Las viviendas asequibles representan </w:t>
            </w:r>
            <w:r w:rsidRPr="00DB6B7E">
              <w:rPr>
                <w:rFonts w:eastAsia="Times New Roman" w:cstheme="minorHAnsi"/>
                <w:sz w:val="18"/>
                <w:szCs w:val="18"/>
                <w:lang w:eastAsia="es-ES"/>
              </w:rPr>
              <w:t>el 21% del total del parque de vivienda, y el 54% del total del parque de alquiler</w:t>
            </w:r>
            <w:r>
              <w:rPr>
                <w:rFonts w:eastAsia="Times New Roman" w:cstheme="minorHAnsi"/>
                <w:sz w:val="18"/>
                <w:szCs w:val="18"/>
                <w:lang w:eastAsia="es-ES"/>
              </w:rPr>
              <w:t>.</w:t>
            </w:r>
          </w:p>
          <w:p w:rsidR="00553F64" w:rsidRPr="0015770A" w:rsidRDefault="00553F64" w:rsidP="00114710">
            <w:pPr>
              <w:pStyle w:val="Prrafodelista"/>
              <w:ind w:left="360"/>
              <w:jc w:val="both"/>
              <w:rPr>
                <w:rFonts w:eastAsia="Times New Roman" w:cstheme="minorHAnsi"/>
                <w:sz w:val="18"/>
                <w:szCs w:val="18"/>
                <w:lang w:eastAsia="es-ES"/>
              </w:rPr>
            </w:pPr>
          </w:p>
        </w:tc>
      </w:tr>
      <w:tr w:rsidR="00553F64" w:rsidRPr="00B3026E" w:rsidTr="00114710">
        <w:tc>
          <w:tcPr>
            <w:tcW w:w="2831" w:type="dxa"/>
          </w:tcPr>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Default="00553F64" w:rsidP="00114710">
            <w:pPr>
              <w:jc w:val="both"/>
              <w:rPr>
                <w:sz w:val="18"/>
                <w:szCs w:val="18"/>
              </w:rPr>
            </w:pPr>
          </w:p>
          <w:p w:rsidR="00553F64" w:rsidRPr="00B3026E" w:rsidRDefault="00553F64" w:rsidP="00114710">
            <w:pPr>
              <w:jc w:val="both"/>
              <w:rPr>
                <w:sz w:val="18"/>
                <w:szCs w:val="18"/>
              </w:rPr>
            </w:pPr>
            <w:r>
              <w:rPr>
                <w:sz w:val="18"/>
                <w:szCs w:val="18"/>
              </w:rPr>
              <w:t>Reino Unido</w:t>
            </w:r>
          </w:p>
        </w:tc>
        <w:tc>
          <w:tcPr>
            <w:tcW w:w="7937" w:type="dxa"/>
          </w:tcPr>
          <w:p w:rsidR="00553F64" w:rsidRPr="00D4528C"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 xml:space="preserve">Las autoridades locales han ido transfiriendo </w:t>
            </w:r>
            <w:r w:rsidRPr="00D4528C">
              <w:rPr>
                <w:rFonts w:eastAsia="Times New Roman" w:cstheme="minorHAnsi"/>
                <w:sz w:val="18"/>
                <w:szCs w:val="18"/>
                <w:lang w:eastAsia="es-ES"/>
              </w:rPr>
              <w:t>sus viviendas a las Asociaciones de Vivienda. Entre 1988 y 2009, en Inglaterra, se transfirieron más de un millón de viviendas de propiedad municipal a las asociaciones de vivienda</w:t>
            </w:r>
            <w:r>
              <w:rPr>
                <w:rFonts w:eastAsia="Times New Roman" w:cstheme="minorHAnsi"/>
                <w:sz w:val="18"/>
                <w:szCs w:val="18"/>
                <w:lang w:eastAsia="es-ES"/>
              </w:rPr>
              <w:t>.</w:t>
            </w:r>
          </w:p>
          <w:p w:rsidR="00553F64" w:rsidRPr="00D4528C" w:rsidRDefault="00553F64" w:rsidP="00553F64">
            <w:pPr>
              <w:pStyle w:val="Prrafodelista"/>
              <w:numPr>
                <w:ilvl w:val="0"/>
                <w:numId w:val="7"/>
              </w:numPr>
              <w:jc w:val="both"/>
              <w:rPr>
                <w:rFonts w:eastAsia="Times New Roman" w:cstheme="minorHAnsi"/>
                <w:sz w:val="18"/>
                <w:szCs w:val="18"/>
                <w:lang w:eastAsia="es-ES"/>
              </w:rPr>
            </w:pPr>
            <w:r w:rsidRPr="00D4528C">
              <w:rPr>
                <w:rFonts w:eastAsia="Times New Roman" w:cstheme="minorHAnsi"/>
                <w:sz w:val="18"/>
                <w:szCs w:val="18"/>
                <w:lang w:eastAsia="es-ES"/>
              </w:rPr>
              <w:t xml:space="preserve">Según </w:t>
            </w:r>
            <w:r>
              <w:rPr>
                <w:rFonts w:eastAsia="Times New Roman" w:cstheme="minorHAnsi"/>
                <w:sz w:val="18"/>
                <w:szCs w:val="18"/>
                <w:lang w:eastAsia="es-ES"/>
              </w:rPr>
              <w:t xml:space="preserve">el </w:t>
            </w:r>
            <w:r w:rsidRPr="005B23DE">
              <w:rPr>
                <w:rFonts w:eastAsia="Times New Roman" w:cstheme="minorHAnsi"/>
                <w:iCs/>
                <w:sz w:val="18"/>
                <w:szCs w:val="18"/>
                <w:lang w:eastAsia="es-ES"/>
              </w:rPr>
              <w:t>Comité</w:t>
            </w:r>
            <w:r w:rsidRPr="005B23DE">
              <w:rPr>
                <w:rFonts w:eastAsia="Times New Roman" w:cstheme="minorHAnsi"/>
                <w:sz w:val="18"/>
                <w:szCs w:val="18"/>
                <w:lang w:eastAsia="es-ES"/>
              </w:rPr>
              <w:t xml:space="preserve"> Europeo de Coordinación de la Vivienda Social</w:t>
            </w:r>
            <w:r>
              <w:rPr>
                <w:rFonts w:eastAsia="Times New Roman" w:cstheme="minorHAnsi"/>
                <w:sz w:val="18"/>
                <w:szCs w:val="18"/>
                <w:lang w:eastAsia="es-ES"/>
              </w:rPr>
              <w:t xml:space="preserve"> (</w:t>
            </w:r>
            <w:r w:rsidRPr="005B23DE">
              <w:rPr>
                <w:rFonts w:eastAsia="Times New Roman" w:cstheme="minorHAnsi"/>
                <w:sz w:val="18"/>
                <w:szCs w:val="18"/>
                <w:lang w:eastAsia="es-ES"/>
              </w:rPr>
              <w:t>CECODHAS</w:t>
            </w:r>
            <w:r>
              <w:rPr>
                <w:rFonts w:eastAsia="Times New Roman" w:cstheme="minorHAnsi"/>
                <w:sz w:val="18"/>
                <w:szCs w:val="18"/>
                <w:lang w:eastAsia="es-ES"/>
              </w:rPr>
              <w:t>)</w:t>
            </w:r>
            <w:r w:rsidRPr="005B23DE">
              <w:rPr>
                <w:rFonts w:eastAsia="Times New Roman" w:cstheme="minorHAnsi"/>
                <w:sz w:val="18"/>
                <w:szCs w:val="18"/>
                <w:lang w:eastAsia="es-ES"/>
              </w:rPr>
              <w:t>, actualmente las asociaciones de vivienda se han convertido</w:t>
            </w:r>
            <w:r w:rsidRPr="00D4528C">
              <w:rPr>
                <w:rFonts w:eastAsia="Times New Roman" w:cstheme="minorHAnsi"/>
                <w:sz w:val="18"/>
                <w:szCs w:val="18"/>
                <w:lang w:eastAsia="es-ES"/>
              </w:rPr>
              <w:t xml:space="preserve"> en las principales proveedoras de vivienda social (54% del parque de vivienda social) mientras que las autoridades locales detienen un 46%</w:t>
            </w:r>
            <w:r>
              <w:rPr>
                <w:rFonts w:eastAsia="Times New Roman" w:cstheme="minorHAnsi"/>
                <w:sz w:val="18"/>
                <w:szCs w:val="18"/>
                <w:lang w:eastAsia="es-ES"/>
              </w:rPr>
              <w:t>.</w:t>
            </w:r>
          </w:p>
          <w:p w:rsidR="00553F64" w:rsidRPr="005B23DE" w:rsidRDefault="00553F64" w:rsidP="00553F64">
            <w:pPr>
              <w:pStyle w:val="Prrafodelista"/>
              <w:numPr>
                <w:ilvl w:val="0"/>
                <w:numId w:val="7"/>
              </w:numPr>
              <w:jc w:val="both"/>
              <w:rPr>
                <w:sz w:val="18"/>
                <w:szCs w:val="18"/>
              </w:rPr>
            </w:pPr>
            <w:r w:rsidRPr="00D4528C">
              <w:rPr>
                <w:rFonts w:eastAsia="Times New Roman" w:cstheme="minorHAnsi"/>
                <w:sz w:val="18"/>
                <w:szCs w:val="18"/>
                <w:lang w:eastAsia="es-ES"/>
              </w:rPr>
              <w:t>La construcción de vivienda en el Reino Unido se financia a través de los fondos de las asociaciones, préstamos del mercado financiero privado o subsidios públicos</w:t>
            </w:r>
            <w:r>
              <w:rPr>
                <w:rFonts w:eastAsia="Times New Roman" w:cstheme="minorHAnsi"/>
                <w:sz w:val="18"/>
                <w:szCs w:val="18"/>
                <w:lang w:eastAsia="es-ES"/>
              </w:rPr>
              <w:t>.</w:t>
            </w:r>
          </w:p>
          <w:p w:rsidR="00553F64" w:rsidRPr="00B3026E" w:rsidRDefault="00553F64" w:rsidP="00553F64">
            <w:pPr>
              <w:pStyle w:val="Prrafodelista"/>
              <w:numPr>
                <w:ilvl w:val="0"/>
                <w:numId w:val="7"/>
              </w:numPr>
              <w:jc w:val="both"/>
              <w:rPr>
                <w:sz w:val="18"/>
                <w:szCs w:val="18"/>
              </w:rPr>
            </w:pPr>
            <w:r w:rsidRPr="005B23DE">
              <w:rPr>
                <w:rFonts w:eastAsia="Times New Roman" w:cstheme="minorHAnsi"/>
                <w:sz w:val="18"/>
                <w:szCs w:val="18"/>
                <w:lang w:eastAsia="es-ES"/>
              </w:rPr>
              <w:t>El precio</w:t>
            </w:r>
            <w:r>
              <w:rPr>
                <w:rFonts w:eastAsia="Times New Roman" w:cstheme="minorHAnsi"/>
                <w:sz w:val="18"/>
                <w:szCs w:val="18"/>
                <w:lang w:eastAsia="es-ES"/>
              </w:rPr>
              <w:t xml:space="preserve"> del alquiler </w:t>
            </w:r>
            <w:r w:rsidRPr="005B23DE">
              <w:rPr>
                <w:rFonts w:eastAsia="Times New Roman" w:cstheme="minorHAnsi"/>
                <w:sz w:val="18"/>
                <w:szCs w:val="18"/>
                <w:lang w:eastAsia="es-ES"/>
              </w:rPr>
              <w:t>se fija según el valor de la propiedad en cuestión y la media de salarios del área donde se encuentra la propiedad.</w:t>
            </w:r>
          </w:p>
        </w:tc>
        <w:tc>
          <w:tcPr>
            <w:tcW w:w="4205" w:type="dxa"/>
          </w:tcPr>
          <w:p w:rsidR="00553F64" w:rsidRDefault="00553F64" w:rsidP="00553F64">
            <w:pPr>
              <w:pStyle w:val="Prrafodelista"/>
              <w:numPr>
                <w:ilvl w:val="0"/>
                <w:numId w:val="7"/>
              </w:numPr>
              <w:jc w:val="both"/>
              <w:rPr>
                <w:rFonts w:eastAsia="Times New Roman" w:cstheme="minorHAnsi"/>
                <w:sz w:val="18"/>
                <w:szCs w:val="18"/>
                <w:lang w:eastAsia="es-ES"/>
              </w:rPr>
            </w:pPr>
            <w:r>
              <w:rPr>
                <w:rFonts w:eastAsia="Times New Roman" w:cstheme="minorHAnsi"/>
                <w:sz w:val="18"/>
                <w:szCs w:val="18"/>
                <w:lang w:eastAsia="es-ES"/>
              </w:rPr>
              <w:t>Reino Unido tiene 7,3 viviendas sociales por cada 100 habitantes (3,8 en la media de la UE).</w:t>
            </w:r>
          </w:p>
          <w:p w:rsidR="00553F64" w:rsidRPr="00B3026E" w:rsidRDefault="00553F64" w:rsidP="00553F64">
            <w:pPr>
              <w:pStyle w:val="Prrafodelista"/>
              <w:numPr>
                <w:ilvl w:val="0"/>
                <w:numId w:val="7"/>
              </w:numPr>
              <w:jc w:val="both"/>
              <w:rPr>
                <w:sz w:val="18"/>
                <w:szCs w:val="18"/>
              </w:rPr>
            </w:pPr>
            <w:r>
              <w:rPr>
                <w:rFonts w:eastAsia="Times New Roman" w:cstheme="minorHAnsi"/>
                <w:sz w:val="18"/>
                <w:szCs w:val="18"/>
                <w:lang w:eastAsia="es-ES"/>
              </w:rPr>
              <w:t xml:space="preserve">Según el </w:t>
            </w:r>
            <w:r w:rsidRPr="005B23DE">
              <w:rPr>
                <w:rFonts w:eastAsia="Times New Roman" w:cstheme="minorHAnsi"/>
                <w:sz w:val="18"/>
                <w:szCs w:val="18"/>
                <w:lang w:eastAsia="es-ES"/>
              </w:rPr>
              <w:t>CECODHAS</w:t>
            </w:r>
            <w:r>
              <w:rPr>
                <w:rFonts w:eastAsia="Times New Roman" w:cstheme="minorHAnsi"/>
                <w:sz w:val="18"/>
                <w:szCs w:val="18"/>
                <w:lang w:eastAsia="es-ES"/>
              </w:rPr>
              <w:t xml:space="preserve">, las rentas de los inquilinos se rebajaron hasta un </w:t>
            </w:r>
            <w:r w:rsidRPr="005B23DE">
              <w:rPr>
                <w:rFonts w:eastAsia="Times New Roman" w:cstheme="minorHAnsi"/>
                <w:sz w:val="18"/>
                <w:szCs w:val="18"/>
                <w:lang w:eastAsia="es-ES"/>
              </w:rPr>
              <w:t>56% del precio de mercado</w:t>
            </w:r>
            <w:r>
              <w:rPr>
                <w:rFonts w:eastAsia="Times New Roman" w:cstheme="minorHAnsi"/>
                <w:sz w:val="18"/>
                <w:szCs w:val="18"/>
                <w:lang w:eastAsia="es-ES"/>
              </w:rPr>
              <w:t xml:space="preserve"> en 2007.</w:t>
            </w:r>
            <w:r w:rsidRPr="005B23DE">
              <w:rPr>
                <w:rFonts w:eastAsia="Times New Roman" w:cstheme="minorHAnsi"/>
                <w:sz w:val="18"/>
                <w:szCs w:val="18"/>
                <w:lang w:eastAsia="es-ES"/>
              </w:rPr>
              <w:t xml:space="preserve"> </w:t>
            </w:r>
          </w:p>
        </w:tc>
      </w:tr>
      <w:tr w:rsidR="00553F64" w:rsidRPr="00B3026E" w:rsidTr="00114710">
        <w:tc>
          <w:tcPr>
            <w:tcW w:w="14973" w:type="dxa"/>
            <w:gridSpan w:val="3"/>
          </w:tcPr>
          <w:p w:rsidR="00553F64" w:rsidRPr="00B3026E" w:rsidRDefault="00553F64" w:rsidP="00114710">
            <w:pPr>
              <w:jc w:val="both"/>
              <w:rPr>
                <w:sz w:val="18"/>
                <w:szCs w:val="18"/>
              </w:rPr>
            </w:pPr>
            <w:r>
              <w:rPr>
                <w:sz w:val="18"/>
                <w:szCs w:val="18"/>
              </w:rPr>
              <w:t xml:space="preserve">Fuente: Elaboración propia a partir de la información de Housing Europe, </w:t>
            </w:r>
            <w:r w:rsidRPr="004E6F88">
              <w:rPr>
                <w:sz w:val="18"/>
                <w:szCs w:val="18"/>
              </w:rPr>
              <w:t>Boletín especial Vivienda Social 2020</w:t>
            </w:r>
            <w:r>
              <w:rPr>
                <w:sz w:val="18"/>
                <w:szCs w:val="18"/>
              </w:rPr>
              <w:t xml:space="preserve"> del Observatorio de Vivienda Social (</w:t>
            </w:r>
            <w:r w:rsidRPr="004E6F88">
              <w:rPr>
                <w:sz w:val="18"/>
                <w:szCs w:val="18"/>
              </w:rPr>
              <w:t>Ministerio de Transportes, Movilidad y Agenda Urbana</w:t>
            </w:r>
            <w:r>
              <w:rPr>
                <w:sz w:val="18"/>
                <w:szCs w:val="18"/>
              </w:rPr>
              <w:t xml:space="preserve">), </w:t>
            </w:r>
            <w:r w:rsidRPr="005B23DE">
              <w:rPr>
                <w:rFonts w:eastAsia="Times New Roman" w:cstheme="minorHAnsi"/>
                <w:iCs/>
                <w:sz w:val="18"/>
                <w:szCs w:val="18"/>
                <w:lang w:eastAsia="es-ES"/>
              </w:rPr>
              <w:t>Comité</w:t>
            </w:r>
            <w:r w:rsidRPr="005B23DE">
              <w:rPr>
                <w:rFonts w:eastAsia="Times New Roman" w:cstheme="minorHAnsi"/>
                <w:sz w:val="18"/>
                <w:szCs w:val="18"/>
                <w:lang w:eastAsia="es-ES"/>
              </w:rPr>
              <w:t xml:space="preserve"> Europeo de Coordinación de la Vivienda Social</w:t>
            </w:r>
            <w:r>
              <w:rPr>
                <w:rFonts w:eastAsia="Times New Roman" w:cstheme="minorHAnsi"/>
                <w:sz w:val="18"/>
                <w:szCs w:val="18"/>
                <w:lang w:eastAsia="es-ES"/>
              </w:rPr>
              <w:t xml:space="preserve"> e “</w:t>
            </w:r>
            <w:r w:rsidRPr="004E6F88">
              <w:rPr>
                <w:rFonts w:eastAsia="Times New Roman" w:cstheme="minorHAnsi"/>
                <w:sz w:val="18"/>
                <w:szCs w:val="18"/>
                <w:lang w:eastAsia="es-ES"/>
              </w:rPr>
              <w:t>Informe sobre políticas públicas comparadas en materia de vivienda en la UE y en España.</w:t>
            </w:r>
            <w:r>
              <w:rPr>
                <w:rFonts w:eastAsia="Times New Roman" w:cstheme="minorHAnsi"/>
                <w:sz w:val="18"/>
                <w:szCs w:val="18"/>
                <w:lang w:eastAsia="es-ES"/>
              </w:rPr>
              <w:t xml:space="preserve"> Propuestas para Andalucía”.</w:t>
            </w:r>
          </w:p>
        </w:tc>
      </w:tr>
    </w:tbl>
    <w:p w:rsidR="00553F64" w:rsidRDefault="00553F64" w:rsidP="00553F64"/>
    <w:p w:rsidR="0054429C" w:rsidRDefault="0054429C" w:rsidP="00553F64">
      <w:pPr>
        <w:sectPr w:rsidR="0054429C" w:rsidSect="00307D76">
          <w:pgSz w:w="16838" w:h="11906" w:orient="landscape"/>
          <w:pgMar w:top="1701" w:right="1417" w:bottom="1701" w:left="1417" w:header="708" w:footer="708" w:gutter="0"/>
          <w:cols w:space="708"/>
          <w:docGrid w:linePitch="360"/>
        </w:sectPr>
      </w:pPr>
    </w:p>
    <w:p w:rsidR="000D6A48" w:rsidRPr="00AE67A2" w:rsidRDefault="00E53F3F" w:rsidP="00F4121A">
      <w:pPr>
        <w:rPr>
          <w:b/>
          <w:sz w:val="24"/>
          <w:szCs w:val="24"/>
        </w:rPr>
      </w:pPr>
      <w:r w:rsidRPr="00AE67A2">
        <w:rPr>
          <w:b/>
          <w:sz w:val="24"/>
          <w:szCs w:val="24"/>
        </w:rPr>
        <w:lastRenderedPageBreak/>
        <w:t xml:space="preserve">I.4. </w:t>
      </w:r>
      <w:r w:rsidR="000D6A48" w:rsidRPr="00AE67A2">
        <w:rPr>
          <w:b/>
          <w:sz w:val="24"/>
          <w:szCs w:val="24"/>
        </w:rPr>
        <w:t xml:space="preserve">Posibles palancas </w:t>
      </w:r>
      <w:r w:rsidR="00591870" w:rsidRPr="00AE67A2">
        <w:rPr>
          <w:b/>
          <w:sz w:val="24"/>
          <w:szCs w:val="24"/>
        </w:rPr>
        <w:t>e implicaciones</w:t>
      </w:r>
    </w:p>
    <w:p w:rsidR="000D6A48" w:rsidRPr="00F4121A" w:rsidRDefault="000D6A48" w:rsidP="000D6A48">
      <w:pPr>
        <w:rPr>
          <w:b/>
          <w:i/>
        </w:rPr>
      </w:pPr>
      <w:r w:rsidRPr="00F4121A">
        <w:rPr>
          <w:b/>
          <w:i/>
        </w:rPr>
        <w:t>Público objetivo</w:t>
      </w:r>
    </w:p>
    <w:p w:rsidR="000D6A48" w:rsidRDefault="001B6007" w:rsidP="000D6A48">
      <w:pPr>
        <w:jc w:val="both"/>
      </w:pPr>
      <w:r>
        <w:t>Según los datos del c</w:t>
      </w:r>
      <w:r w:rsidR="000D6A48">
        <w:t>enso, a 1 de enero de 2023, la población andaluza entre 18 y 34 años era de 1,6 millones (el 19,1% del total) y, dentro de este tramo, el número de habitantes de 25 a 34 años era casi de un millón (11,4% de la población de la región). Como se ha visto anteriormente, los últimos datos publicados señalan que solo el 12,9% de la población entre 16 y 29 años está emancipada, residiendo en hogar distinto del familiar, si bien con diferencias significativas por edades en ese estrato, en tanto que se acerca al 70% entre la población de 30 a 34 años. De este modo, algo más de un 85% de la población entre 16 y 29 años residiría en el hogar familiar, así como alrededor de un tercio de aquellos entre 30 y 34 años.</w:t>
      </w:r>
    </w:p>
    <w:p w:rsidR="000D6A48" w:rsidRDefault="000D6A48" w:rsidP="000D6A48">
      <w:pPr>
        <w:jc w:val="both"/>
      </w:pPr>
      <w:r>
        <w:t>Teniendo en cuenta estas tasas de emancipación y la población en los tramos de edad señalados, se estima que alrededor de 1,12 millones de jóvenes entre 18 y 34 años vivirían en el hogar familiar y constituirían el colectivo de potenciales demandantes de vivienda. Si se considera solo el tramo de población entre 25 y 34 años, la población potencial demandante de vivienda ascendería a algo más de 470.000.</w:t>
      </w:r>
    </w:p>
    <w:p w:rsidR="000D6A48" w:rsidRPr="00BC63C9" w:rsidRDefault="000D6A48" w:rsidP="000D6A48">
      <w:pPr>
        <w:jc w:val="both"/>
      </w:pPr>
      <w:r>
        <w:t>Además, e</w:t>
      </w:r>
      <w:r w:rsidRPr="006159FE">
        <w:t>l público objetivo</w:t>
      </w:r>
      <w:r>
        <w:t xml:space="preserve"> al que se destina la vivienda protegida debe cumplir unos requisitos mínimos que se suelen recoger en los distintos planes implementados. Entre otros:</w:t>
      </w:r>
    </w:p>
    <w:p w:rsidR="000D6A48" w:rsidRDefault="000D6A48" w:rsidP="000D6A48">
      <w:pPr>
        <w:numPr>
          <w:ilvl w:val="0"/>
          <w:numId w:val="3"/>
        </w:numPr>
        <w:jc w:val="both"/>
      </w:pPr>
      <w:r w:rsidRPr="00BC63C9">
        <w:t>No tener o disfrutar de vivienda. No podrá recibir una vivienda protegida quien sea titular del pleno dominio de una vivienda protegida o libre o esté en posesión de la misma en virtud de un derecho real de goce o disfrute vitalicio.</w:t>
      </w:r>
    </w:p>
    <w:p w:rsidR="000D6A48" w:rsidRPr="00BC63C9" w:rsidRDefault="000D6A48" w:rsidP="000D6A48">
      <w:pPr>
        <w:numPr>
          <w:ilvl w:val="0"/>
          <w:numId w:val="3"/>
        </w:numPr>
        <w:jc w:val="both"/>
      </w:pPr>
      <w:r w:rsidRPr="00161E60">
        <w:t>La vivienda que se adquiera debe destinarse a residencia habitual y permanente.</w:t>
      </w:r>
    </w:p>
    <w:p w:rsidR="000D6A48" w:rsidRPr="00BC63C9" w:rsidRDefault="000D6A48" w:rsidP="000D6A48">
      <w:pPr>
        <w:numPr>
          <w:ilvl w:val="0"/>
          <w:numId w:val="3"/>
        </w:numPr>
        <w:jc w:val="both"/>
      </w:pPr>
      <w:r w:rsidRPr="00BC63C9">
        <w:t>Las viviendas protegidas se destinarán a las personas físicas que reúnan los requisitos que se establezcan para cada programa en el correspondiente plan de vivienda.</w:t>
      </w:r>
    </w:p>
    <w:p w:rsidR="000D6A48" w:rsidRDefault="000D6A48" w:rsidP="000D6A48">
      <w:pPr>
        <w:numPr>
          <w:ilvl w:val="0"/>
          <w:numId w:val="3"/>
        </w:numPr>
        <w:jc w:val="both"/>
      </w:pPr>
      <w:r w:rsidRPr="00BC63C9">
        <w:t>Si la persona destinataria de la vivienda protegida formara parte de una unidad familiar, a los efectos del cumplimiento de los requisitos de la cuantía de los ingresos, se computarán, en todo caso, los de todos los miembros de la unidad.</w:t>
      </w:r>
    </w:p>
    <w:p w:rsidR="000D6A48" w:rsidRDefault="000D6A48" w:rsidP="000D6A48">
      <w:pPr>
        <w:numPr>
          <w:ilvl w:val="0"/>
          <w:numId w:val="3"/>
        </w:numPr>
        <w:jc w:val="both"/>
      </w:pPr>
      <w:r>
        <w:t>Deberá</w:t>
      </w:r>
      <w:r w:rsidRPr="00161E60">
        <w:t xml:space="preserve"> inscribirse en los Registros Públicos Municipales de Demandantes de Vivienda Protegida</w:t>
      </w:r>
      <w:r>
        <w:t xml:space="preserve"> y no superar un cierto nivel de ingresos.</w:t>
      </w:r>
    </w:p>
    <w:p w:rsidR="00591870" w:rsidRDefault="00591870" w:rsidP="000D6A48">
      <w:pPr>
        <w:jc w:val="both"/>
        <w:rPr>
          <w:b/>
          <w:i/>
        </w:rPr>
      </w:pPr>
    </w:p>
    <w:p w:rsidR="000D6A48" w:rsidRPr="00FC7EF7" w:rsidRDefault="000D6A48" w:rsidP="000D6A48">
      <w:pPr>
        <w:jc w:val="both"/>
        <w:rPr>
          <w:b/>
          <w:i/>
        </w:rPr>
      </w:pPr>
      <w:r w:rsidRPr="00FC7EF7">
        <w:rPr>
          <w:b/>
          <w:i/>
        </w:rPr>
        <w:t>Ayudas</w:t>
      </w:r>
    </w:p>
    <w:p w:rsidR="000D6A48" w:rsidRPr="00AD514F" w:rsidRDefault="000D6A48" w:rsidP="000D6A48">
      <w:pPr>
        <w:jc w:val="both"/>
      </w:pPr>
      <w:r w:rsidRPr="00AD514F">
        <w:t xml:space="preserve">Con el fin de garantizar el ejercicio efectivo del derecho a una vivienda </w:t>
      </w:r>
      <w:r w:rsidR="00AC71D9">
        <w:t xml:space="preserve">asequible </w:t>
      </w:r>
      <w:r w:rsidRPr="00AD514F">
        <w:t>y adecuada, los planes de vivienda y suelo recogen las modalidades de ayudas para la vivienda protegida que se pueden obtener. En este sentido, la Consejería de Fomento, Infraestructuras y Ordenación del Territorio, a través del Decreto 91/2020, de 30 de junio, regula el Plan Vive en Andalucía, de vivienda, rehabilitación y regeneración urbana de Andalucía 2020-2030, donde se establecen las ayudas a la promoción, así como al pago del precio de la vivienda (comprador) o de la renta de arrendamiento.</w:t>
      </w:r>
    </w:p>
    <w:p w:rsidR="000D6A48" w:rsidRDefault="000D6A48" w:rsidP="000D6A48">
      <w:pPr>
        <w:jc w:val="both"/>
      </w:pPr>
      <w:r w:rsidRPr="00AD514F">
        <w:t xml:space="preserve">Más recientemente, la Junta de Andalucía ha aprobado un decreto de simplificación administrativa que incluye una subida de los precios de las viviendas a precio asequible para intentar que vuelvan a ser atractivas como negocio para los promotores privados. Además, a nivel estatal, el Ministerio de Vivienda y Agenda Urbana ha definido las condiciones, los criterios </w:t>
      </w:r>
      <w:r w:rsidRPr="00AD514F">
        <w:lastRenderedPageBreak/>
        <w:t>y los requisitos de acceso a la línea de avales del Estado (medidas financieras), destinadas a facilitar que unos 50.000 jóvenes y familias con menores a cargo adquieran su primera vivienda.</w:t>
      </w:r>
    </w:p>
    <w:p w:rsidR="000D6A48" w:rsidRDefault="000D6A48" w:rsidP="000D6A48">
      <w:pPr>
        <w:jc w:val="both"/>
      </w:pPr>
    </w:p>
    <w:p w:rsidR="000D6A48" w:rsidRPr="00E45045" w:rsidRDefault="000D6A48" w:rsidP="000D6A48">
      <w:pPr>
        <w:jc w:val="both"/>
        <w:rPr>
          <w:b/>
          <w:i/>
        </w:rPr>
      </w:pPr>
      <w:r w:rsidRPr="00E45045">
        <w:rPr>
          <w:b/>
          <w:i/>
        </w:rPr>
        <w:t>Recaudación</w:t>
      </w:r>
    </w:p>
    <w:p w:rsidR="000D6A48" w:rsidRDefault="000D6A48" w:rsidP="000D6A48">
      <w:pPr>
        <w:jc w:val="both"/>
      </w:pPr>
      <w:r>
        <w:t>La recaudación fiscal por compraventas de viviendas puede analizarse a través del Impuesto del Valor Añadido (IVA) asociado a las operaciones de vivienda nueva, siendo este un impuesto de naturaleza indirecta gestionado por la Administración Central, así como por el Impuesto de Transmisiones Patrimoniales en compraventas de viviendas, impuesto directo gestionado por las Comunidades Autónomas.</w:t>
      </w:r>
    </w:p>
    <w:p w:rsidR="000D6A48" w:rsidRDefault="000D6A48" w:rsidP="000D6A48">
      <w:pPr>
        <w:jc w:val="both"/>
      </w:pPr>
      <w:r>
        <w:t xml:space="preserve">En el primer caso, la recaudación por IVA, las estimaciones efectuadas por </w:t>
      </w:r>
      <w:r w:rsidRPr="00FF37A3">
        <w:rPr>
          <w:i/>
        </w:rPr>
        <w:t>Analistas Económicos de Andalucía</w:t>
      </w:r>
      <w:r>
        <w:t>, considerando el valor de las transacciones de vivienda nueva entre 2004 y 2022, así como los tipos aplicables en cada ejercicio, cifran el IVA repercutido acumulado en el período en 4.365 millones de euros, unos 230 millones anuales. De este importe, resulta complejo identificar que parte se incorpora a la financiación de la Comunidad Autónoma Andaluza.</w:t>
      </w:r>
    </w:p>
    <w:p w:rsidR="000D6A48" w:rsidRDefault="000D6A48" w:rsidP="000D6A48">
      <w:pPr>
        <w:jc w:val="both"/>
      </w:pPr>
      <w:r>
        <w:t xml:space="preserve">En lo que respecta al Impuesto de Transmisiones Patrimoniales, la estadística publicada por la </w:t>
      </w:r>
      <w:r w:rsidRPr="00A27C3A">
        <w:t>Agencia Tributaria de Andalucía,</w:t>
      </w:r>
      <w:r>
        <w:t xml:space="preserve"> de la</w:t>
      </w:r>
      <w:r w:rsidRPr="00A27C3A">
        <w:t xml:space="preserve"> Consejería de Economía, Hacienda y Fondos Europeos</w:t>
      </w:r>
      <w:r>
        <w:t xml:space="preserve"> de la</w:t>
      </w:r>
      <w:r w:rsidRPr="00A27C3A">
        <w:t xml:space="preserve"> Junta de Andalucía</w:t>
      </w:r>
      <w:r>
        <w:t xml:space="preserve"> evidencia desde 2005 una caída en la recaudación fiscal asociada con viviendas de protección oficial, debido al menor número de viviendas de VPO construidas</w:t>
      </w:r>
      <w:r w:rsidR="004207E5">
        <w:t>, frente a una mayor estabilidad en la recaudación total</w:t>
      </w:r>
      <w:r>
        <w:t>. Concretamente, en 2023 se recaudaron alrededor de 832.000 euros por este concepto, asociado a 449 viviendas de VPO construidas, estando estas cifras muy por debajo de los niveles alcanzados en 2005, cuanto se construyeron 8.439 viviendas, lo que supuso alrededor de 15</w:t>
      </w:r>
      <w:r w:rsidR="00AD514F">
        <w:t>,8 millones de</w:t>
      </w:r>
      <w:r>
        <w:t xml:space="preserve"> euros de recaudación por este impuesto.</w:t>
      </w:r>
    </w:p>
    <w:p w:rsidR="000D6A48" w:rsidRDefault="000D6A48" w:rsidP="000D6A48">
      <w:pPr>
        <w:jc w:val="center"/>
      </w:pPr>
      <w:r w:rsidRPr="005D0D46">
        <w:rPr>
          <w:noProof/>
          <w:lang w:eastAsia="es-ES"/>
        </w:rPr>
        <w:drawing>
          <wp:inline distT="0" distB="0" distL="0" distR="0" wp14:anchorId="62687391" wp14:editId="5C2669E6">
            <wp:extent cx="4572000" cy="34270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880C2C" w:rsidRDefault="00880C2C" w:rsidP="000D6A48">
      <w:pPr>
        <w:jc w:val="center"/>
      </w:pPr>
    </w:p>
    <w:p w:rsidR="00880C2C" w:rsidRDefault="00880C2C" w:rsidP="000D6A48">
      <w:pPr>
        <w:jc w:val="center"/>
      </w:pPr>
    </w:p>
    <w:tbl>
      <w:tblPr>
        <w:tblW w:w="8838" w:type="dxa"/>
        <w:tblCellMar>
          <w:left w:w="70" w:type="dxa"/>
          <w:right w:w="70" w:type="dxa"/>
        </w:tblCellMar>
        <w:tblLook w:val="04A0" w:firstRow="1" w:lastRow="0" w:firstColumn="1" w:lastColumn="0" w:noHBand="0" w:noVBand="1"/>
      </w:tblPr>
      <w:tblGrid>
        <w:gridCol w:w="2022"/>
        <w:gridCol w:w="997"/>
        <w:gridCol w:w="1215"/>
        <w:gridCol w:w="997"/>
        <w:gridCol w:w="1215"/>
        <w:gridCol w:w="1223"/>
        <w:gridCol w:w="1169"/>
      </w:tblGrid>
      <w:tr w:rsidR="000D6A48" w:rsidRPr="00E45045" w:rsidTr="001D429A">
        <w:tc>
          <w:tcPr>
            <w:tcW w:w="8838" w:type="dxa"/>
            <w:gridSpan w:val="7"/>
            <w:tcBorders>
              <w:top w:val="single" w:sz="2" w:space="0" w:color="70AD47" w:themeColor="accent6"/>
              <w:left w:val="nil"/>
              <w:bottom w:val="nil"/>
              <w:right w:val="nil"/>
            </w:tcBorders>
            <w:shd w:val="clear" w:color="auto" w:fill="auto"/>
            <w:noWrap/>
            <w:vAlign w:val="bottom"/>
            <w:hideMark/>
          </w:tcPr>
          <w:p w:rsidR="000D6A48" w:rsidRPr="00E45045" w:rsidRDefault="000D6A48" w:rsidP="000D6A48">
            <w:pPr>
              <w:spacing w:after="0" w:line="240" w:lineRule="auto"/>
              <w:rPr>
                <w:rFonts w:ascii="Calibri" w:eastAsia="Times New Roman" w:hAnsi="Calibri" w:cs="Calibri"/>
                <w:b/>
                <w:bCs/>
                <w:color w:val="000000"/>
                <w:sz w:val="16"/>
                <w:szCs w:val="16"/>
                <w:lang w:eastAsia="es-ES"/>
              </w:rPr>
            </w:pPr>
            <w:r>
              <w:rPr>
                <w:rFonts w:ascii="Calibri" w:eastAsia="Times New Roman" w:hAnsi="Calibri" w:cs="Calibri"/>
                <w:b/>
                <w:bCs/>
                <w:color w:val="000000"/>
                <w:sz w:val="16"/>
                <w:szCs w:val="16"/>
                <w:lang w:eastAsia="es-ES"/>
              </w:rPr>
              <w:lastRenderedPageBreak/>
              <w:t>Recaudación por</w:t>
            </w:r>
            <w:r w:rsidRPr="00E45045">
              <w:rPr>
                <w:rFonts w:ascii="Calibri" w:eastAsia="Times New Roman" w:hAnsi="Calibri" w:cs="Calibri"/>
                <w:b/>
                <w:bCs/>
                <w:color w:val="000000"/>
                <w:sz w:val="16"/>
                <w:szCs w:val="16"/>
                <w:lang w:eastAsia="es-ES"/>
              </w:rPr>
              <w:t xml:space="preserve"> Impuesto de Transmisiones Patrimoniales en Andalucía</w:t>
            </w:r>
          </w:p>
        </w:tc>
      </w:tr>
      <w:tr w:rsidR="000D6A48" w:rsidRPr="00E45045" w:rsidTr="00480100">
        <w:tc>
          <w:tcPr>
            <w:tcW w:w="2022"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rPr>
                <w:rFonts w:ascii="Calibri" w:eastAsia="Times New Roman" w:hAnsi="Calibri" w:cs="Calibri"/>
                <w:i/>
                <w:iCs/>
                <w:color w:val="000000"/>
                <w:sz w:val="16"/>
                <w:szCs w:val="16"/>
                <w:lang w:eastAsia="es-ES"/>
              </w:rPr>
            </w:pPr>
            <w:r w:rsidRPr="00E45045">
              <w:rPr>
                <w:rFonts w:ascii="Calibri" w:eastAsia="Times New Roman" w:hAnsi="Calibri" w:cs="Calibri"/>
                <w:i/>
                <w:iCs/>
                <w:color w:val="000000"/>
                <w:sz w:val="16"/>
                <w:szCs w:val="16"/>
                <w:lang w:eastAsia="es-ES"/>
              </w:rPr>
              <w:t>(Número y miles de euros)</w:t>
            </w:r>
          </w:p>
        </w:tc>
        <w:tc>
          <w:tcPr>
            <w:tcW w:w="2212" w:type="dxa"/>
            <w:gridSpan w:val="2"/>
            <w:tcBorders>
              <w:top w:val="nil"/>
              <w:left w:val="nil"/>
              <w:bottom w:val="nil"/>
              <w:right w:val="nil"/>
            </w:tcBorders>
            <w:shd w:val="clear" w:color="auto" w:fill="E2EFD9" w:themeFill="accent6" w:themeFillTint="33"/>
            <w:noWrap/>
            <w:vAlign w:val="bottom"/>
            <w:hideMark/>
          </w:tcPr>
          <w:p w:rsidR="000D6A48" w:rsidRPr="00480100" w:rsidRDefault="000D6A48" w:rsidP="000D6A48">
            <w:pPr>
              <w:spacing w:after="0" w:line="240" w:lineRule="auto"/>
              <w:jc w:val="center"/>
              <w:rPr>
                <w:rFonts w:eastAsia="Times New Roman" w:cstheme="minorHAnsi"/>
                <w:b/>
                <w:color w:val="333333"/>
                <w:sz w:val="16"/>
                <w:szCs w:val="16"/>
                <w:lang w:eastAsia="es-ES"/>
              </w:rPr>
            </w:pPr>
            <w:r w:rsidRPr="00480100">
              <w:rPr>
                <w:rFonts w:eastAsia="Times New Roman" w:cstheme="minorHAnsi"/>
                <w:b/>
                <w:color w:val="333333"/>
                <w:sz w:val="16"/>
                <w:szCs w:val="16"/>
                <w:lang w:eastAsia="es-ES"/>
              </w:rPr>
              <w:t>Transmisiones patrimoniales</w:t>
            </w:r>
          </w:p>
        </w:tc>
        <w:tc>
          <w:tcPr>
            <w:tcW w:w="2212" w:type="dxa"/>
            <w:gridSpan w:val="2"/>
            <w:tcBorders>
              <w:top w:val="nil"/>
              <w:left w:val="nil"/>
              <w:bottom w:val="nil"/>
              <w:right w:val="nil"/>
            </w:tcBorders>
            <w:shd w:val="clear" w:color="auto" w:fill="E2EFD9" w:themeFill="accent6" w:themeFillTint="33"/>
            <w:noWrap/>
            <w:vAlign w:val="bottom"/>
            <w:hideMark/>
          </w:tcPr>
          <w:p w:rsidR="000D6A48" w:rsidRPr="00480100" w:rsidRDefault="000D6A48" w:rsidP="000D6A48">
            <w:pPr>
              <w:spacing w:after="0" w:line="240" w:lineRule="auto"/>
              <w:jc w:val="center"/>
              <w:rPr>
                <w:rFonts w:eastAsia="Times New Roman" w:cstheme="minorHAnsi"/>
                <w:b/>
                <w:color w:val="333333"/>
                <w:sz w:val="16"/>
                <w:szCs w:val="16"/>
                <w:lang w:eastAsia="es-ES"/>
              </w:rPr>
            </w:pPr>
            <w:r w:rsidRPr="00480100">
              <w:rPr>
                <w:rFonts w:eastAsia="Times New Roman" w:cstheme="minorHAnsi"/>
                <w:b/>
                <w:color w:val="333333"/>
                <w:sz w:val="16"/>
                <w:szCs w:val="16"/>
                <w:lang w:eastAsia="es-ES"/>
              </w:rPr>
              <w:t>Transmisiones de inmuebles</w:t>
            </w:r>
          </w:p>
        </w:tc>
        <w:tc>
          <w:tcPr>
            <w:tcW w:w="2392" w:type="dxa"/>
            <w:gridSpan w:val="2"/>
            <w:tcBorders>
              <w:top w:val="nil"/>
              <w:left w:val="nil"/>
              <w:bottom w:val="nil"/>
              <w:right w:val="nil"/>
            </w:tcBorders>
            <w:shd w:val="clear" w:color="auto" w:fill="E2EFD9" w:themeFill="accent6" w:themeFillTint="33"/>
            <w:noWrap/>
            <w:vAlign w:val="bottom"/>
            <w:hideMark/>
          </w:tcPr>
          <w:p w:rsidR="000D6A48" w:rsidRPr="00480100" w:rsidRDefault="000D6A48" w:rsidP="000D6A48">
            <w:pPr>
              <w:spacing w:after="0" w:line="240" w:lineRule="auto"/>
              <w:jc w:val="center"/>
              <w:rPr>
                <w:rFonts w:eastAsia="Times New Roman" w:cstheme="minorHAnsi"/>
                <w:b/>
                <w:color w:val="333333"/>
                <w:sz w:val="16"/>
                <w:szCs w:val="16"/>
                <w:lang w:eastAsia="es-ES"/>
              </w:rPr>
            </w:pPr>
            <w:r w:rsidRPr="00480100">
              <w:rPr>
                <w:rFonts w:eastAsia="Times New Roman" w:cstheme="minorHAnsi"/>
                <w:b/>
                <w:color w:val="333333"/>
                <w:sz w:val="16"/>
                <w:szCs w:val="16"/>
                <w:lang w:eastAsia="es-ES"/>
              </w:rPr>
              <w:t>Viviendas de Protección Oficial</w:t>
            </w:r>
          </w:p>
        </w:tc>
      </w:tr>
      <w:tr w:rsidR="000D6A48" w:rsidRPr="00E45045" w:rsidTr="00480100">
        <w:tc>
          <w:tcPr>
            <w:tcW w:w="2022"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center"/>
              <w:rPr>
                <w:rFonts w:ascii="Arial" w:eastAsia="Times New Roman" w:hAnsi="Arial" w:cs="Arial"/>
                <w:color w:val="333333"/>
                <w:sz w:val="16"/>
                <w:szCs w:val="16"/>
                <w:lang w:eastAsia="es-ES"/>
              </w:rPr>
            </w:pPr>
          </w:p>
        </w:tc>
        <w:tc>
          <w:tcPr>
            <w:tcW w:w="997" w:type="dxa"/>
            <w:tcBorders>
              <w:top w:val="nil"/>
              <w:left w:val="nil"/>
              <w:bottom w:val="nil"/>
              <w:right w:val="nil"/>
            </w:tcBorders>
            <w:shd w:val="clear" w:color="auto" w:fill="E2EFD9" w:themeFill="accent6" w:themeFillTint="33"/>
            <w:noWrap/>
            <w:vAlign w:val="bottom"/>
            <w:hideMark/>
          </w:tcPr>
          <w:p w:rsidR="000D6A48" w:rsidRPr="00480100" w:rsidRDefault="000D6A48" w:rsidP="000D6A48">
            <w:pPr>
              <w:spacing w:after="0" w:line="240" w:lineRule="auto"/>
              <w:jc w:val="right"/>
              <w:rPr>
                <w:rFonts w:ascii="Arial" w:eastAsia="Times New Roman" w:hAnsi="Arial" w:cs="Arial"/>
                <w:b/>
                <w:color w:val="333333"/>
                <w:sz w:val="16"/>
                <w:szCs w:val="16"/>
                <w:lang w:eastAsia="es-ES"/>
              </w:rPr>
            </w:pPr>
            <w:r w:rsidRPr="00480100">
              <w:rPr>
                <w:rFonts w:ascii="Arial" w:eastAsia="Times New Roman" w:hAnsi="Arial" w:cs="Arial"/>
                <w:b/>
                <w:color w:val="333333"/>
                <w:sz w:val="16"/>
                <w:szCs w:val="16"/>
                <w:lang w:eastAsia="es-ES"/>
              </w:rPr>
              <w:t>Número</w:t>
            </w:r>
          </w:p>
        </w:tc>
        <w:tc>
          <w:tcPr>
            <w:tcW w:w="1215" w:type="dxa"/>
            <w:tcBorders>
              <w:top w:val="nil"/>
              <w:left w:val="nil"/>
              <w:bottom w:val="nil"/>
              <w:right w:val="nil"/>
            </w:tcBorders>
            <w:shd w:val="clear" w:color="auto" w:fill="E2EFD9" w:themeFill="accent6" w:themeFillTint="33"/>
            <w:noWrap/>
            <w:vAlign w:val="bottom"/>
            <w:hideMark/>
          </w:tcPr>
          <w:p w:rsidR="000D6A48" w:rsidRPr="00480100" w:rsidRDefault="000D6A48" w:rsidP="000D6A48">
            <w:pPr>
              <w:spacing w:after="0" w:line="240" w:lineRule="auto"/>
              <w:jc w:val="right"/>
              <w:rPr>
                <w:rFonts w:ascii="Arial" w:eastAsia="Times New Roman" w:hAnsi="Arial" w:cs="Arial"/>
                <w:b/>
                <w:color w:val="333333"/>
                <w:sz w:val="16"/>
                <w:szCs w:val="16"/>
                <w:lang w:eastAsia="es-ES"/>
              </w:rPr>
            </w:pPr>
            <w:r w:rsidRPr="00480100">
              <w:rPr>
                <w:rFonts w:ascii="Arial" w:eastAsia="Times New Roman" w:hAnsi="Arial" w:cs="Arial"/>
                <w:b/>
                <w:color w:val="333333"/>
                <w:sz w:val="16"/>
                <w:szCs w:val="16"/>
                <w:lang w:eastAsia="es-ES"/>
              </w:rPr>
              <w:t>Importe</w:t>
            </w:r>
          </w:p>
        </w:tc>
        <w:tc>
          <w:tcPr>
            <w:tcW w:w="997" w:type="dxa"/>
            <w:tcBorders>
              <w:top w:val="nil"/>
              <w:left w:val="nil"/>
              <w:bottom w:val="nil"/>
              <w:right w:val="nil"/>
            </w:tcBorders>
            <w:shd w:val="clear" w:color="auto" w:fill="E2EFD9" w:themeFill="accent6" w:themeFillTint="33"/>
            <w:noWrap/>
            <w:vAlign w:val="bottom"/>
            <w:hideMark/>
          </w:tcPr>
          <w:p w:rsidR="000D6A48" w:rsidRPr="00480100" w:rsidRDefault="000D6A48" w:rsidP="000D6A48">
            <w:pPr>
              <w:spacing w:after="0" w:line="240" w:lineRule="auto"/>
              <w:jc w:val="right"/>
              <w:rPr>
                <w:rFonts w:ascii="Arial" w:eastAsia="Times New Roman" w:hAnsi="Arial" w:cs="Arial"/>
                <w:b/>
                <w:color w:val="333333"/>
                <w:sz w:val="16"/>
                <w:szCs w:val="16"/>
                <w:lang w:eastAsia="es-ES"/>
              </w:rPr>
            </w:pPr>
            <w:r w:rsidRPr="00480100">
              <w:rPr>
                <w:rFonts w:ascii="Arial" w:eastAsia="Times New Roman" w:hAnsi="Arial" w:cs="Arial"/>
                <w:b/>
                <w:color w:val="333333"/>
                <w:sz w:val="16"/>
                <w:szCs w:val="16"/>
                <w:lang w:eastAsia="es-ES"/>
              </w:rPr>
              <w:t>Número</w:t>
            </w:r>
          </w:p>
        </w:tc>
        <w:tc>
          <w:tcPr>
            <w:tcW w:w="1215" w:type="dxa"/>
            <w:tcBorders>
              <w:top w:val="nil"/>
              <w:left w:val="nil"/>
              <w:bottom w:val="nil"/>
              <w:right w:val="nil"/>
            </w:tcBorders>
            <w:shd w:val="clear" w:color="auto" w:fill="E2EFD9" w:themeFill="accent6" w:themeFillTint="33"/>
            <w:noWrap/>
            <w:vAlign w:val="bottom"/>
            <w:hideMark/>
          </w:tcPr>
          <w:p w:rsidR="000D6A48" w:rsidRPr="00480100" w:rsidRDefault="000D6A48" w:rsidP="000D6A48">
            <w:pPr>
              <w:spacing w:after="0" w:line="240" w:lineRule="auto"/>
              <w:jc w:val="right"/>
              <w:rPr>
                <w:rFonts w:ascii="Arial" w:eastAsia="Times New Roman" w:hAnsi="Arial" w:cs="Arial"/>
                <w:b/>
                <w:color w:val="333333"/>
                <w:sz w:val="16"/>
                <w:szCs w:val="16"/>
                <w:lang w:eastAsia="es-ES"/>
              </w:rPr>
            </w:pPr>
            <w:r w:rsidRPr="00480100">
              <w:rPr>
                <w:rFonts w:ascii="Arial" w:eastAsia="Times New Roman" w:hAnsi="Arial" w:cs="Arial"/>
                <w:b/>
                <w:color w:val="333333"/>
                <w:sz w:val="16"/>
                <w:szCs w:val="16"/>
                <w:lang w:eastAsia="es-ES"/>
              </w:rPr>
              <w:t>Importe</w:t>
            </w:r>
          </w:p>
        </w:tc>
        <w:tc>
          <w:tcPr>
            <w:tcW w:w="1223" w:type="dxa"/>
            <w:tcBorders>
              <w:top w:val="nil"/>
              <w:left w:val="nil"/>
              <w:bottom w:val="nil"/>
              <w:right w:val="nil"/>
            </w:tcBorders>
            <w:shd w:val="clear" w:color="auto" w:fill="E2EFD9" w:themeFill="accent6" w:themeFillTint="33"/>
            <w:noWrap/>
            <w:vAlign w:val="bottom"/>
            <w:hideMark/>
          </w:tcPr>
          <w:p w:rsidR="000D6A48" w:rsidRPr="00480100" w:rsidRDefault="000D6A48" w:rsidP="000D6A48">
            <w:pPr>
              <w:spacing w:after="0" w:line="240" w:lineRule="auto"/>
              <w:jc w:val="right"/>
              <w:rPr>
                <w:rFonts w:ascii="Arial" w:eastAsia="Times New Roman" w:hAnsi="Arial" w:cs="Arial"/>
                <w:b/>
                <w:color w:val="333333"/>
                <w:sz w:val="16"/>
                <w:szCs w:val="16"/>
                <w:lang w:eastAsia="es-ES"/>
              </w:rPr>
            </w:pPr>
            <w:r w:rsidRPr="00480100">
              <w:rPr>
                <w:rFonts w:ascii="Arial" w:eastAsia="Times New Roman" w:hAnsi="Arial" w:cs="Arial"/>
                <w:b/>
                <w:color w:val="333333"/>
                <w:sz w:val="16"/>
                <w:szCs w:val="16"/>
                <w:lang w:eastAsia="es-ES"/>
              </w:rPr>
              <w:t>Número</w:t>
            </w:r>
          </w:p>
        </w:tc>
        <w:tc>
          <w:tcPr>
            <w:tcW w:w="1169" w:type="dxa"/>
            <w:tcBorders>
              <w:top w:val="nil"/>
              <w:left w:val="nil"/>
              <w:bottom w:val="nil"/>
              <w:right w:val="nil"/>
            </w:tcBorders>
            <w:shd w:val="clear" w:color="auto" w:fill="E2EFD9" w:themeFill="accent6" w:themeFillTint="33"/>
            <w:noWrap/>
            <w:vAlign w:val="bottom"/>
            <w:hideMark/>
          </w:tcPr>
          <w:p w:rsidR="000D6A48" w:rsidRPr="00480100" w:rsidRDefault="000D6A48" w:rsidP="000D6A48">
            <w:pPr>
              <w:spacing w:after="0" w:line="240" w:lineRule="auto"/>
              <w:jc w:val="right"/>
              <w:rPr>
                <w:rFonts w:ascii="Arial" w:eastAsia="Times New Roman" w:hAnsi="Arial" w:cs="Arial"/>
                <w:b/>
                <w:color w:val="333333"/>
                <w:sz w:val="16"/>
                <w:szCs w:val="16"/>
                <w:lang w:eastAsia="es-ES"/>
              </w:rPr>
            </w:pPr>
            <w:r w:rsidRPr="00480100">
              <w:rPr>
                <w:rFonts w:ascii="Arial" w:eastAsia="Times New Roman" w:hAnsi="Arial" w:cs="Arial"/>
                <w:b/>
                <w:color w:val="333333"/>
                <w:sz w:val="16"/>
                <w:szCs w:val="16"/>
                <w:lang w:eastAsia="es-ES"/>
              </w:rPr>
              <w:t>Importe</w:t>
            </w:r>
          </w:p>
        </w:tc>
      </w:tr>
      <w:tr w:rsidR="000D6A48" w:rsidRPr="00E45045" w:rsidTr="007F0F03">
        <w:tc>
          <w:tcPr>
            <w:tcW w:w="2022" w:type="dxa"/>
            <w:tcBorders>
              <w:top w:val="nil"/>
              <w:left w:val="nil"/>
              <w:bottom w:val="nil"/>
              <w:right w:val="nil"/>
            </w:tcBorders>
            <w:shd w:val="clear" w:color="auto" w:fill="E2EFD9" w:themeFill="accent6" w:themeFillTint="33"/>
            <w:noWrap/>
            <w:vAlign w:val="bottom"/>
            <w:hideMark/>
          </w:tcPr>
          <w:p w:rsidR="000D6A48" w:rsidRPr="00E45045" w:rsidRDefault="000D6A48" w:rsidP="000D6A48">
            <w:pPr>
              <w:spacing w:after="0" w:line="240" w:lineRule="auto"/>
              <w:rPr>
                <w:rFonts w:ascii="Arial" w:eastAsia="Times New Roman" w:hAnsi="Arial" w:cs="Arial"/>
                <w:color w:val="333333"/>
                <w:sz w:val="16"/>
                <w:szCs w:val="16"/>
                <w:lang w:eastAsia="es-ES"/>
              </w:rPr>
            </w:pPr>
            <w:r w:rsidRPr="00E45045">
              <w:rPr>
                <w:rFonts w:ascii="Arial" w:eastAsia="Times New Roman" w:hAnsi="Arial" w:cs="Arial"/>
                <w:color w:val="333333"/>
                <w:sz w:val="16"/>
                <w:szCs w:val="16"/>
                <w:lang w:eastAsia="es-ES"/>
              </w:rPr>
              <w:t>2005</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586.503</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1.245.721</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221.884</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1.204.445</w:t>
            </w:r>
          </w:p>
        </w:tc>
        <w:tc>
          <w:tcPr>
            <w:tcW w:w="1223"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8.439</w:t>
            </w:r>
          </w:p>
        </w:tc>
        <w:tc>
          <w:tcPr>
            <w:tcW w:w="1169"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15.791</w:t>
            </w:r>
          </w:p>
        </w:tc>
      </w:tr>
      <w:tr w:rsidR="000D6A48" w:rsidRPr="00E45045" w:rsidTr="007F0F03">
        <w:tc>
          <w:tcPr>
            <w:tcW w:w="2022" w:type="dxa"/>
            <w:tcBorders>
              <w:top w:val="nil"/>
              <w:left w:val="nil"/>
              <w:bottom w:val="nil"/>
              <w:right w:val="nil"/>
            </w:tcBorders>
            <w:shd w:val="clear" w:color="auto" w:fill="E2EFD9" w:themeFill="accent6" w:themeFillTint="33"/>
            <w:noWrap/>
            <w:vAlign w:val="bottom"/>
            <w:hideMark/>
          </w:tcPr>
          <w:p w:rsidR="000D6A48" w:rsidRPr="00E45045" w:rsidRDefault="000D6A48" w:rsidP="000D6A48">
            <w:pPr>
              <w:spacing w:after="0" w:line="240" w:lineRule="auto"/>
              <w:rPr>
                <w:rFonts w:ascii="Arial" w:eastAsia="Times New Roman" w:hAnsi="Arial" w:cs="Arial"/>
                <w:color w:val="333333"/>
                <w:sz w:val="16"/>
                <w:szCs w:val="16"/>
                <w:lang w:eastAsia="es-ES"/>
              </w:rPr>
            </w:pPr>
            <w:r w:rsidRPr="00E45045">
              <w:rPr>
                <w:rFonts w:ascii="Arial" w:eastAsia="Times New Roman" w:hAnsi="Arial" w:cs="Arial"/>
                <w:color w:val="333333"/>
                <w:sz w:val="16"/>
                <w:szCs w:val="16"/>
                <w:lang w:eastAsia="es-ES"/>
              </w:rPr>
              <w:t>2010</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435.697</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653.562</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93.836</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610.005</w:t>
            </w:r>
          </w:p>
        </w:tc>
        <w:tc>
          <w:tcPr>
            <w:tcW w:w="1223"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3.048</w:t>
            </w:r>
          </w:p>
        </w:tc>
        <w:tc>
          <w:tcPr>
            <w:tcW w:w="1169"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4.649</w:t>
            </w:r>
          </w:p>
        </w:tc>
      </w:tr>
      <w:tr w:rsidR="000D6A48" w:rsidRPr="00E45045" w:rsidTr="007F0F03">
        <w:tc>
          <w:tcPr>
            <w:tcW w:w="2022" w:type="dxa"/>
            <w:tcBorders>
              <w:top w:val="nil"/>
              <w:left w:val="nil"/>
              <w:bottom w:val="nil"/>
              <w:right w:val="nil"/>
            </w:tcBorders>
            <w:shd w:val="clear" w:color="auto" w:fill="E2EFD9" w:themeFill="accent6" w:themeFillTint="33"/>
            <w:noWrap/>
            <w:vAlign w:val="bottom"/>
            <w:hideMark/>
          </w:tcPr>
          <w:p w:rsidR="000D6A48" w:rsidRPr="00E45045" w:rsidRDefault="000D6A48" w:rsidP="000D6A48">
            <w:pPr>
              <w:spacing w:after="0" w:line="240" w:lineRule="auto"/>
              <w:rPr>
                <w:rFonts w:ascii="Arial" w:eastAsia="Times New Roman" w:hAnsi="Arial" w:cs="Arial"/>
                <w:color w:val="333333"/>
                <w:sz w:val="16"/>
                <w:szCs w:val="16"/>
                <w:lang w:eastAsia="es-ES"/>
              </w:rPr>
            </w:pPr>
            <w:r w:rsidRPr="00E45045">
              <w:rPr>
                <w:rFonts w:ascii="Arial" w:eastAsia="Times New Roman" w:hAnsi="Arial" w:cs="Arial"/>
                <w:color w:val="333333"/>
                <w:sz w:val="16"/>
                <w:szCs w:val="16"/>
                <w:lang w:eastAsia="es-ES"/>
              </w:rPr>
              <w:t>2015</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510.942</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848.474</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120.649</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801.380</w:t>
            </w:r>
          </w:p>
        </w:tc>
        <w:tc>
          <w:tcPr>
            <w:tcW w:w="1223"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449</w:t>
            </w:r>
          </w:p>
        </w:tc>
        <w:tc>
          <w:tcPr>
            <w:tcW w:w="1169"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759</w:t>
            </w:r>
          </w:p>
        </w:tc>
      </w:tr>
      <w:tr w:rsidR="000D6A48" w:rsidRPr="00E45045" w:rsidTr="007F0F03">
        <w:tc>
          <w:tcPr>
            <w:tcW w:w="2022" w:type="dxa"/>
            <w:tcBorders>
              <w:top w:val="nil"/>
              <w:left w:val="nil"/>
              <w:bottom w:val="nil"/>
              <w:right w:val="nil"/>
            </w:tcBorders>
            <w:shd w:val="clear" w:color="auto" w:fill="E2EFD9" w:themeFill="accent6" w:themeFillTint="33"/>
            <w:noWrap/>
            <w:vAlign w:val="bottom"/>
            <w:hideMark/>
          </w:tcPr>
          <w:p w:rsidR="000D6A48" w:rsidRPr="00E45045" w:rsidRDefault="000D6A48" w:rsidP="000D6A48">
            <w:pPr>
              <w:spacing w:after="0" w:line="240" w:lineRule="auto"/>
              <w:rPr>
                <w:rFonts w:ascii="Arial" w:eastAsia="Times New Roman" w:hAnsi="Arial" w:cs="Arial"/>
                <w:color w:val="333333"/>
                <w:sz w:val="16"/>
                <w:szCs w:val="16"/>
                <w:lang w:eastAsia="es-ES"/>
              </w:rPr>
            </w:pPr>
            <w:r w:rsidRPr="00E45045">
              <w:rPr>
                <w:rFonts w:ascii="Arial" w:eastAsia="Times New Roman" w:hAnsi="Arial" w:cs="Arial"/>
                <w:color w:val="333333"/>
                <w:sz w:val="16"/>
                <w:szCs w:val="16"/>
                <w:lang w:eastAsia="es-ES"/>
              </w:rPr>
              <w:t>2020</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499.900</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865.290</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126.895</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836.853</w:t>
            </w:r>
          </w:p>
        </w:tc>
        <w:tc>
          <w:tcPr>
            <w:tcW w:w="1223"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349</w:t>
            </w:r>
          </w:p>
        </w:tc>
        <w:tc>
          <w:tcPr>
            <w:tcW w:w="1169"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664</w:t>
            </w:r>
          </w:p>
        </w:tc>
      </w:tr>
      <w:tr w:rsidR="000D6A48" w:rsidRPr="00E45045" w:rsidTr="007F0F03">
        <w:tc>
          <w:tcPr>
            <w:tcW w:w="2022" w:type="dxa"/>
            <w:tcBorders>
              <w:top w:val="nil"/>
              <w:left w:val="nil"/>
              <w:bottom w:val="nil"/>
              <w:right w:val="nil"/>
            </w:tcBorders>
            <w:shd w:val="clear" w:color="auto" w:fill="E2EFD9" w:themeFill="accent6" w:themeFillTint="33"/>
            <w:noWrap/>
            <w:vAlign w:val="bottom"/>
            <w:hideMark/>
          </w:tcPr>
          <w:p w:rsidR="000D6A48" w:rsidRPr="00E45045" w:rsidRDefault="000D6A48" w:rsidP="000D6A48">
            <w:pPr>
              <w:spacing w:after="0" w:line="240" w:lineRule="auto"/>
              <w:rPr>
                <w:rFonts w:ascii="Arial" w:eastAsia="Times New Roman" w:hAnsi="Arial" w:cs="Arial"/>
                <w:color w:val="333333"/>
                <w:sz w:val="16"/>
                <w:szCs w:val="16"/>
                <w:lang w:eastAsia="es-ES"/>
              </w:rPr>
            </w:pPr>
            <w:r w:rsidRPr="00E45045">
              <w:rPr>
                <w:rFonts w:ascii="Arial" w:eastAsia="Times New Roman" w:hAnsi="Arial" w:cs="Arial"/>
                <w:color w:val="333333"/>
                <w:sz w:val="16"/>
                <w:szCs w:val="16"/>
                <w:lang w:eastAsia="es-ES"/>
              </w:rPr>
              <w:t>2021</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622.720</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1.261.756</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179.166</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1.226.484</w:t>
            </w:r>
          </w:p>
        </w:tc>
        <w:tc>
          <w:tcPr>
            <w:tcW w:w="1223"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578</w:t>
            </w:r>
          </w:p>
        </w:tc>
        <w:tc>
          <w:tcPr>
            <w:tcW w:w="1169"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1.110</w:t>
            </w:r>
          </w:p>
        </w:tc>
      </w:tr>
      <w:tr w:rsidR="000D6A48" w:rsidRPr="00E45045" w:rsidTr="007F0F03">
        <w:tc>
          <w:tcPr>
            <w:tcW w:w="2022" w:type="dxa"/>
            <w:tcBorders>
              <w:top w:val="nil"/>
              <w:left w:val="nil"/>
              <w:bottom w:val="nil"/>
              <w:right w:val="nil"/>
            </w:tcBorders>
            <w:shd w:val="clear" w:color="auto" w:fill="E2EFD9" w:themeFill="accent6" w:themeFillTint="33"/>
            <w:noWrap/>
            <w:vAlign w:val="bottom"/>
            <w:hideMark/>
          </w:tcPr>
          <w:p w:rsidR="000D6A48" w:rsidRPr="00E45045" w:rsidRDefault="000D6A48" w:rsidP="000D6A48">
            <w:pPr>
              <w:spacing w:after="0" w:line="240" w:lineRule="auto"/>
              <w:rPr>
                <w:rFonts w:ascii="Arial" w:eastAsia="Times New Roman" w:hAnsi="Arial" w:cs="Arial"/>
                <w:color w:val="333333"/>
                <w:sz w:val="16"/>
                <w:szCs w:val="16"/>
                <w:lang w:eastAsia="es-ES"/>
              </w:rPr>
            </w:pPr>
            <w:r w:rsidRPr="00E45045">
              <w:rPr>
                <w:rFonts w:ascii="Arial" w:eastAsia="Times New Roman" w:hAnsi="Arial" w:cs="Arial"/>
                <w:color w:val="333333"/>
                <w:sz w:val="16"/>
                <w:szCs w:val="16"/>
                <w:lang w:eastAsia="es-ES"/>
              </w:rPr>
              <w:t>2022</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615.199</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1.439.329</w:t>
            </w:r>
          </w:p>
        </w:tc>
        <w:tc>
          <w:tcPr>
            <w:tcW w:w="997"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185.837</w:t>
            </w:r>
          </w:p>
        </w:tc>
        <w:tc>
          <w:tcPr>
            <w:tcW w:w="1215"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1.402.067</w:t>
            </w:r>
          </w:p>
        </w:tc>
        <w:tc>
          <w:tcPr>
            <w:tcW w:w="1223"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474</w:t>
            </w:r>
          </w:p>
        </w:tc>
        <w:tc>
          <w:tcPr>
            <w:tcW w:w="1169" w:type="dxa"/>
            <w:tcBorders>
              <w:top w:val="nil"/>
              <w:left w:val="nil"/>
              <w:bottom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880</w:t>
            </w:r>
          </w:p>
        </w:tc>
      </w:tr>
      <w:tr w:rsidR="000D6A48" w:rsidRPr="00E45045" w:rsidTr="007F0F03">
        <w:tc>
          <w:tcPr>
            <w:tcW w:w="2022" w:type="dxa"/>
            <w:tcBorders>
              <w:top w:val="nil"/>
              <w:left w:val="nil"/>
              <w:right w:val="nil"/>
            </w:tcBorders>
            <w:shd w:val="clear" w:color="auto" w:fill="E2EFD9" w:themeFill="accent6" w:themeFillTint="33"/>
            <w:noWrap/>
            <w:vAlign w:val="bottom"/>
            <w:hideMark/>
          </w:tcPr>
          <w:p w:rsidR="000D6A48" w:rsidRPr="00E45045" w:rsidRDefault="000D6A48" w:rsidP="000D6A48">
            <w:pPr>
              <w:spacing w:after="0" w:line="240" w:lineRule="auto"/>
              <w:rPr>
                <w:rFonts w:ascii="Arial" w:eastAsia="Times New Roman" w:hAnsi="Arial" w:cs="Arial"/>
                <w:color w:val="333333"/>
                <w:sz w:val="16"/>
                <w:szCs w:val="16"/>
                <w:lang w:eastAsia="es-ES"/>
              </w:rPr>
            </w:pPr>
            <w:r w:rsidRPr="00E45045">
              <w:rPr>
                <w:rFonts w:ascii="Arial" w:eastAsia="Times New Roman" w:hAnsi="Arial" w:cs="Arial"/>
                <w:color w:val="333333"/>
                <w:sz w:val="16"/>
                <w:szCs w:val="16"/>
                <w:lang w:eastAsia="es-ES"/>
              </w:rPr>
              <w:t>2023</w:t>
            </w:r>
          </w:p>
        </w:tc>
        <w:tc>
          <w:tcPr>
            <w:tcW w:w="997" w:type="dxa"/>
            <w:tcBorders>
              <w:top w:val="nil"/>
              <w:left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595.036</w:t>
            </w:r>
          </w:p>
        </w:tc>
        <w:tc>
          <w:tcPr>
            <w:tcW w:w="1215" w:type="dxa"/>
            <w:tcBorders>
              <w:top w:val="nil"/>
              <w:left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1.241.333</w:t>
            </w:r>
          </w:p>
        </w:tc>
        <w:tc>
          <w:tcPr>
            <w:tcW w:w="997" w:type="dxa"/>
            <w:tcBorders>
              <w:top w:val="nil"/>
              <w:left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166.173</w:t>
            </w:r>
          </w:p>
        </w:tc>
        <w:tc>
          <w:tcPr>
            <w:tcW w:w="1215" w:type="dxa"/>
            <w:tcBorders>
              <w:top w:val="nil"/>
              <w:left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1.208.692</w:t>
            </w:r>
          </w:p>
        </w:tc>
        <w:tc>
          <w:tcPr>
            <w:tcW w:w="1223" w:type="dxa"/>
            <w:tcBorders>
              <w:top w:val="nil"/>
              <w:left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449</w:t>
            </w:r>
          </w:p>
        </w:tc>
        <w:tc>
          <w:tcPr>
            <w:tcW w:w="1169" w:type="dxa"/>
            <w:tcBorders>
              <w:top w:val="nil"/>
              <w:left w:val="nil"/>
              <w:right w:val="nil"/>
            </w:tcBorders>
            <w:shd w:val="clear" w:color="auto" w:fill="auto"/>
            <w:noWrap/>
            <w:vAlign w:val="bottom"/>
            <w:hideMark/>
          </w:tcPr>
          <w:p w:rsidR="000D6A48" w:rsidRPr="00E45045" w:rsidRDefault="000D6A48" w:rsidP="000D6A48">
            <w:pPr>
              <w:spacing w:after="0" w:line="240" w:lineRule="auto"/>
              <w:jc w:val="right"/>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832</w:t>
            </w:r>
          </w:p>
        </w:tc>
      </w:tr>
      <w:tr w:rsidR="000D6A48" w:rsidRPr="00E45045" w:rsidTr="001D429A">
        <w:tc>
          <w:tcPr>
            <w:tcW w:w="8838" w:type="dxa"/>
            <w:gridSpan w:val="7"/>
            <w:tcBorders>
              <w:top w:val="nil"/>
              <w:left w:val="nil"/>
              <w:bottom w:val="single" w:sz="2" w:space="0" w:color="70AD47" w:themeColor="accent6"/>
              <w:right w:val="nil"/>
            </w:tcBorders>
            <w:shd w:val="clear" w:color="auto" w:fill="auto"/>
            <w:noWrap/>
            <w:vAlign w:val="bottom"/>
            <w:hideMark/>
          </w:tcPr>
          <w:p w:rsidR="000D6A48" w:rsidRPr="00E45045" w:rsidRDefault="000D6A48" w:rsidP="000D6A48">
            <w:pPr>
              <w:spacing w:after="0" w:line="240" w:lineRule="auto"/>
              <w:rPr>
                <w:rFonts w:ascii="Calibri" w:eastAsia="Times New Roman" w:hAnsi="Calibri" w:cs="Calibri"/>
                <w:color w:val="000000"/>
                <w:sz w:val="16"/>
                <w:szCs w:val="16"/>
                <w:lang w:eastAsia="es-ES"/>
              </w:rPr>
            </w:pPr>
            <w:r w:rsidRPr="00E45045">
              <w:rPr>
                <w:rFonts w:ascii="Calibri" w:eastAsia="Times New Roman" w:hAnsi="Calibri" w:cs="Calibri"/>
                <w:color w:val="000000"/>
                <w:sz w:val="16"/>
                <w:szCs w:val="16"/>
                <w:lang w:eastAsia="es-ES"/>
              </w:rPr>
              <w:t>Fuente: Agencia Tributaria de Andalucía,  Consejería de Economía, Hacienda y Fondos Europeos, Junta de Andalucía.</w:t>
            </w:r>
          </w:p>
        </w:tc>
      </w:tr>
    </w:tbl>
    <w:p w:rsidR="000D6A48" w:rsidRDefault="000D6A48" w:rsidP="000D6A48"/>
    <w:p w:rsidR="000D6A48" w:rsidRDefault="000D6A48" w:rsidP="000D6A48">
      <w:pPr>
        <w:jc w:val="both"/>
      </w:pPr>
      <w:r>
        <w:t>La participación de la vivienda protegida en la recaudación por el Impuesto de Transmisiones Patrimoniales de inmuebles en Andalucía está en los últimos años y la pasada década muy por debajo de los niveles observados entre 2005 y 2010, cuando las viviendas protegidas llegaron a suponer más del 4% del total de operaciones, lo que en términos de recaudación suponía en torno al 1% del importe recaudado en el conjunto de inmuebles (0,1% en 2023).</w:t>
      </w:r>
    </w:p>
    <w:p w:rsidR="000D6A48" w:rsidRDefault="000D6A48" w:rsidP="000D6A48">
      <w:pPr>
        <w:jc w:val="both"/>
      </w:pPr>
    </w:p>
    <w:p w:rsidR="000D6A48" w:rsidRDefault="000D6A48" w:rsidP="000D6A48">
      <w:pPr>
        <w:jc w:val="center"/>
      </w:pPr>
      <w:r w:rsidRPr="00907355">
        <w:rPr>
          <w:noProof/>
          <w:lang w:eastAsia="es-ES"/>
        </w:rPr>
        <w:drawing>
          <wp:inline distT="0" distB="0" distL="0" distR="0" wp14:anchorId="48B98FCB" wp14:editId="11CE4686">
            <wp:extent cx="4572000" cy="34270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E53F3F" w:rsidRDefault="00E53F3F"/>
    <w:p w:rsidR="00E53F3F" w:rsidRPr="00AE67A2" w:rsidRDefault="00E53F3F">
      <w:pPr>
        <w:rPr>
          <w:b/>
          <w:sz w:val="24"/>
          <w:szCs w:val="24"/>
        </w:rPr>
      </w:pPr>
      <w:r w:rsidRPr="00AE67A2">
        <w:rPr>
          <w:b/>
          <w:sz w:val="24"/>
          <w:szCs w:val="24"/>
        </w:rPr>
        <w:t>I.5. Conclusiones</w:t>
      </w:r>
    </w:p>
    <w:p w:rsidR="00DF3AD0" w:rsidRDefault="00DF3AD0" w:rsidP="00DF3AD0">
      <w:pPr>
        <w:jc w:val="both"/>
      </w:pPr>
      <w:r>
        <w:t>El problema de acceso a la vivienda, especialmente entre la población más joven se ha agravado en los últimos años, con un claro desajuste entre la oferta y la demanda. Por este motivo, el acceso a la vivienda se ha convertido en una prioridad para las distintas administraciones públicas, sobre todo en un contexto como el actual, marcado por el incremento de los precios, tanto de compra como de alquiler, el encarecimiento de la financiación o los mayores costes de construcción. En este sentido, la promoción y el fomento del acceso a la vivienda protegida, adecuada y a precio asequible debe ser uno de los objetivos de las administraciones.</w:t>
      </w:r>
    </w:p>
    <w:p w:rsidR="00DF3AD0" w:rsidRDefault="00DF3AD0" w:rsidP="00DF3AD0">
      <w:pPr>
        <w:jc w:val="both"/>
      </w:pPr>
      <w:r>
        <w:t>El esfuerzo de acceso a la vivienda en Andalucía, tanto en compra como en alquiler, supera el límite del tercio de los ingresos recomendado, especialmente entre</w:t>
      </w:r>
      <w:r w:rsidR="00DF58D6">
        <w:t xml:space="preserve"> los</w:t>
      </w:r>
      <w:r>
        <w:t xml:space="preserve"> menor</w:t>
      </w:r>
      <w:r w:rsidR="00DF58D6">
        <w:t>es</w:t>
      </w:r>
      <w:r>
        <w:t xml:space="preserve"> de 30 años. Si </w:t>
      </w:r>
      <w:r>
        <w:lastRenderedPageBreak/>
        <w:t>se considera</w:t>
      </w:r>
      <w:r w:rsidR="00DF58D6">
        <w:t>n</w:t>
      </w:r>
      <w:r>
        <w:t xml:space="preserve"> los ingresos </w:t>
      </w:r>
      <w:r w:rsidR="00DF58D6">
        <w:t>anuales que s</w:t>
      </w:r>
      <w:r>
        <w:t>e percib</w:t>
      </w:r>
      <w:r w:rsidR="00DF58D6">
        <w:t>en</w:t>
      </w:r>
      <w:r>
        <w:t xml:space="preserve"> </w:t>
      </w:r>
      <w:r w:rsidR="00DF58D6">
        <w:t xml:space="preserve">por un trabajo a </w:t>
      </w:r>
      <w:r>
        <w:t xml:space="preserve">jornada </w:t>
      </w:r>
      <w:r w:rsidR="00DF58D6">
        <w:t>c</w:t>
      </w:r>
      <w:r>
        <w:t>ompleta (</w:t>
      </w:r>
      <w:r w:rsidRPr="00B465B9">
        <w:rPr>
          <w:i/>
        </w:rPr>
        <w:t>salario equivalente a tiempo completo</w:t>
      </w:r>
      <w:r>
        <w:t xml:space="preserve">), el esfuerzo de compra con financiación sería inferior al 30%, pero este no es el caso en general. En todo caso, entre los menores de 30 años incluso considerando estos ingresos el esfuerzo de compra se situaría al límite de las recomendaciones. Por su parte, en el caso del alquiler, el esfuerzo de acceso es aún mayor, y en ningún caso baja del 35%. </w:t>
      </w:r>
    </w:p>
    <w:p w:rsidR="00DF3AD0" w:rsidRDefault="00DF3AD0" w:rsidP="00DF3AD0">
      <w:pPr>
        <w:jc w:val="both"/>
      </w:pPr>
      <w:r>
        <w:t>En este sentido, la necesidad de atender a esta prioridad ha quedado recogida en el Decreto-ley 3/2024, por el que se adoptan medidas de simplificación y racionalización administrativa en Andalucía, y que han supuesto ajustes en el Decreto 91/2020 (Plan Vive), que tienen por finalidad potenciar la promoción de vivienda protegida. Entre otros, se ha modificado el artículo relativo a las personas destinatarias de viviendas y alojamientos protegidos, se ha actualizado el módulo básico que sirve de base para la definición del precio de venta o alquiler de las viviendas protegidas, incrementándolo en un 14,5%, para intentar lograr una mayor producción de este tipo de viviendas o se ha revisado la renta máxima anual en caso de alquiler.</w:t>
      </w:r>
    </w:p>
    <w:p w:rsidR="00DF3AD0" w:rsidRDefault="00DF3AD0" w:rsidP="00DF3AD0">
      <w:pPr>
        <w:jc w:val="both"/>
      </w:pPr>
      <w:r>
        <w:t>Aunque en los últimos años desde algunas comunidades autónomas se ha apostado por incrementar el parque de vivienda social o potenciar el régimen de alquiler (caso de Andalucía, País Vasco, Cataluña o Madrid), la comparativa con las políticas de otros países europeos arroja un menor éxito en cuanto al acceso a un mercado de vivienda social o asequible más amplio y extendido entre la población, sobre todo en el caso del alquiler. En España la vivienda social representa el 2,5% del total de las viviendas principales, muy por debajo de la media de la UE (9,3%) y bastante alejada de las cifras de Países Bajos, Austria, Dinamarca o Suecia, donde supera el 19%. Igualmente, el número de viviendas sociales por cada 100 habitantes se sitúa en 0,9, frente a 3,8 del promedio comunitario.</w:t>
      </w:r>
    </w:p>
    <w:p w:rsidR="00DF3AD0" w:rsidRPr="002B5C7D" w:rsidRDefault="00DF3AD0" w:rsidP="00DF3AD0">
      <w:pPr>
        <w:pStyle w:val="pb-article-item-iteration"/>
        <w:spacing w:before="0" w:beforeAutospacing="0" w:after="160" w:afterAutospacing="0" w:line="259" w:lineRule="auto"/>
        <w:jc w:val="both"/>
        <w:rPr>
          <w:rFonts w:asciiTheme="minorHAnsi" w:eastAsiaTheme="minorHAnsi" w:hAnsiTheme="minorHAnsi" w:cstheme="minorBidi"/>
          <w:sz w:val="22"/>
          <w:szCs w:val="22"/>
          <w:lang w:eastAsia="en-US"/>
        </w:rPr>
      </w:pPr>
      <w:r w:rsidRPr="002B5C7D">
        <w:rPr>
          <w:rFonts w:asciiTheme="minorHAnsi" w:eastAsiaTheme="minorHAnsi" w:hAnsiTheme="minorHAnsi" w:cstheme="minorBidi"/>
          <w:sz w:val="22"/>
          <w:szCs w:val="22"/>
          <w:lang w:eastAsia="en-US"/>
        </w:rPr>
        <w:t xml:space="preserve">Entre los países que lideran la vivienda social y asequible en Europa, las políticas de vivienda se </w:t>
      </w:r>
      <w:r w:rsidR="00FA6570">
        <w:rPr>
          <w:rFonts w:asciiTheme="minorHAnsi" w:eastAsiaTheme="minorHAnsi" w:hAnsiTheme="minorHAnsi" w:cstheme="minorBidi"/>
          <w:sz w:val="22"/>
          <w:szCs w:val="22"/>
          <w:lang w:eastAsia="en-US"/>
        </w:rPr>
        <w:t>centran</w:t>
      </w:r>
      <w:r w:rsidR="004B6427">
        <w:rPr>
          <w:rFonts w:asciiTheme="minorHAnsi" w:eastAsiaTheme="minorHAnsi" w:hAnsiTheme="minorHAnsi" w:cstheme="minorBidi"/>
          <w:sz w:val="22"/>
          <w:szCs w:val="22"/>
          <w:lang w:eastAsia="en-US"/>
        </w:rPr>
        <w:t>, sobre todo,</w:t>
      </w:r>
      <w:r w:rsidR="00FA6570">
        <w:rPr>
          <w:rFonts w:asciiTheme="minorHAnsi" w:eastAsiaTheme="minorHAnsi" w:hAnsiTheme="minorHAnsi" w:cstheme="minorBidi"/>
          <w:sz w:val="22"/>
          <w:szCs w:val="22"/>
          <w:lang w:eastAsia="en-US"/>
        </w:rPr>
        <w:t xml:space="preserve"> en el mercado del alquiler y se </w:t>
      </w:r>
      <w:r w:rsidRPr="002B5C7D">
        <w:rPr>
          <w:rFonts w:asciiTheme="minorHAnsi" w:eastAsiaTheme="minorHAnsi" w:hAnsiTheme="minorHAnsi" w:cstheme="minorBidi"/>
          <w:sz w:val="22"/>
          <w:szCs w:val="22"/>
          <w:lang w:eastAsia="en-US"/>
        </w:rPr>
        <w:t>encuentran destinadas a un grupo amplio de beneficiarios, con medidas universales de acceso a la vivienda</w:t>
      </w:r>
      <w:r>
        <w:rPr>
          <w:rFonts w:asciiTheme="minorHAnsi" w:eastAsiaTheme="minorHAnsi" w:hAnsiTheme="minorHAnsi" w:cstheme="minorBidi"/>
          <w:sz w:val="22"/>
          <w:szCs w:val="22"/>
          <w:lang w:eastAsia="en-US"/>
        </w:rPr>
        <w:t xml:space="preserve"> (Suecia, Dinamarca, Países Bajos)</w:t>
      </w:r>
      <w:r w:rsidRPr="002B5C7D">
        <w:rPr>
          <w:rFonts w:asciiTheme="minorHAnsi" w:eastAsiaTheme="minorHAnsi" w:hAnsiTheme="minorHAnsi" w:cstheme="minorBidi"/>
          <w:sz w:val="22"/>
          <w:szCs w:val="22"/>
          <w:lang w:eastAsia="en-US"/>
        </w:rPr>
        <w:t>, o los requisitos de acceso en términos de renta son muy laxos</w:t>
      </w:r>
      <w:r>
        <w:rPr>
          <w:rFonts w:asciiTheme="minorHAnsi" w:eastAsiaTheme="minorHAnsi" w:hAnsiTheme="minorHAnsi" w:cstheme="minorBidi"/>
          <w:sz w:val="22"/>
          <w:szCs w:val="22"/>
          <w:lang w:eastAsia="en-US"/>
        </w:rPr>
        <w:t xml:space="preserve"> (Austria)</w:t>
      </w:r>
      <w:r w:rsidRPr="002B5C7D">
        <w:rPr>
          <w:rFonts w:asciiTheme="minorHAnsi" w:eastAsiaTheme="minorHAnsi" w:hAnsiTheme="minorHAnsi" w:cstheme="minorBidi"/>
          <w:sz w:val="22"/>
          <w:szCs w:val="22"/>
          <w:lang w:eastAsia="en-US"/>
        </w:rPr>
        <w:t xml:space="preserve">. Asimismo, destaca el fuerte impulso de la colaboración público-privada, tanto para la financiación de los proyectos como para la gestión de la vivienda de alquiler asequible, y los límites a la renta del alquiler se establecen en función de criterios como los costes de producción de la vivienda </w:t>
      </w:r>
      <w:r>
        <w:rPr>
          <w:rFonts w:asciiTheme="minorHAnsi" w:eastAsiaTheme="minorHAnsi" w:hAnsiTheme="minorHAnsi" w:cstheme="minorBidi"/>
          <w:sz w:val="22"/>
          <w:szCs w:val="22"/>
          <w:lang w:eastAsia="en-US"/>
        </w:rPr>
        <w:t xml:space="preserve">(Austria o Dinamarca) </w:t>
      </w:r>
      <w:r w:rsidRPr="002B5C7D">
        <w:rPr>
          <w:rFonts w:asciiTheme="minorHAnsi" w:eastAsiaTheme="minorHAnsi" w:hAnsiTheme="minorHAnsi" w:cstheme="minorBidi"/>
          <w:sz w:val="22"/>
          <w:szCs w:val="22"/>
          <w:lang w:eastAsia="en-US"/>
        </w:rPr>
        <w:t>o el valor de la propiedad y la media de salarios de la zona</w:t>
      </w:r>
      <w:r>
        <w:rPr>
          <w:rFonts w:asciiTheme="minorHAnsi" w:eastAsiaTheme="minorHAnsi" w:hAnsiTheme="minorHAnsi" w:cstheme="minorBidi"/>
          <w:sz w:val="22"/>
          <w:szCs w:val="22"/>
          <w:lang w:eastAsia="en-US"/>
        </w:rPr>
        <w:t xml:space="preserve"> (Reino Unido)</w:t>
      </w:r>
      <w:r w:rsidRPr="002B5C7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Finalmente, en algunos casos también se implementan planes de gasto relevantes destinados a estas políticas con financiación determinada (Austria) o iniciativas para convertir inmuebles de uso no residencial en vivienda asequible (Países Bajos).</w:t>
      </w:r>
    </w:p>
    <w:p w:rsidR="00DF3AD0" w:rsidRDefault="00DF3AD0" w:rsidP="00DF3AD0">
      <w:pPr>
        <w:jc w:val="both"/>
      </w:pPr>
      <w:r>
        <w:t xml:space="preserve">En España, las principales </w:t>
      </w:r>
      <w:r w:rsidRPr="00FE389C">
        <w:t>actuaciones para impulsar la vivienda social y asequible están relacionadas con el aumento de la oferta disponible mediante la promoción y rehabilitación de vivienda y la moviliza</w:t>
      </w:r>
      <w:r>
        <w:t>ción de</w:t>
      </w:r>
      <w:r w:rsidRPr="00FE389C">
        <w:t xml:space="preserve">l stock de viviendas vacías del sector privado, </w:t>
      </w:r>
      <w:r w:rsidR="00655D3D">
        <w:t xml:space="preserve">con una tendencia creciente del segmento del alquiler en los últimos años. </w:t>
      </w:r>
      <w:r w:rsidR="00EE37B1">
        <w:t xml:space="preserve">Asimismo, otras medidas implementadas hacen referencia a la </w:t>
      </w:r>
      <w:r w:rsidRPr="00FE389C">
        <w:t>fijación de los precios de las rentas de alquiler o prestaciones para facilitar el pago de las mismas.</w:t>
      </w:r>
      <w:r w:rsidR="00EE37B1">
        <w:t xml:space="preserve"> </w:t>
      </w:r>
      <w:r w:rsidR="00E12C13">
        <w:t>En el caso de Andalucía, además, el mayor peso de las actuaciones se localiza en las capitales de provincia y en los municipios de mayor tamaño, registrándose un déficit en relación con la población en las provincias de Málaga y Granada.</w:t>
      </w:r>
    </w:p>
    <w:p w:rsidR="00DF3AD0" w:rsidRPr="005038F5" w:rsidRDefault="00DF3AD0" w:rsidP="00DF3AD0">
      <w:pPr>
        <w:jc w:val="both"/>
      </w:pPr>
      <w:r>
        <w:t>Pero, al margen de estas</w:t>
      </w:r>
      <w:r w:rsidR="009B4017">
        <w:t xml:space="preserve"> actuaciones</w:t>
      </w:r>
      <w:r>
        <w:t xml:space="preserve">, así como de otras implementadas en otros países de nuestro entorno, también pueden contribuir </w:t>
      </w:r>
      <w:r w:rsidRPr="00762DF6">
        <w:t xml:space="preserve">a estimular la oferta y la demanda medidas como el cumplimiento de un porcentaje de reserva de suelo destinado a vivienda social o protegida </w:t>
      </w:r>
      <w:r w:rsidRPr="00762DF6">
        <w:lastRenderedPageBreak/>
        <w:t>de alquiler asequible, el desarrollo de un marco fiscal favorable a la vivienda asequible, con incentivos fiscales y medidas de apoyo para fomentar la oferta de viviendas, o establecer condiciones de financiación favorables para la promoción y para el acceso a este tipo de inmuebles.</w:t>
      </w:r>
      <w:r>
        <w:t xml:space="preserve"> En definitiva, el éxito de la política de vivienda no tiene que basarse exclusivamente en algunas de las medidas señaladas, sino que pueden implementarse distintas medidas que resulten complementarias y que faciliten el acceso a la vivienda. </w:t>
      </w:r>
    </w:p>
    <w:p w:rsidR="00E53F3F" w:rsidRDefault="00E53F3F"/>
    <w:p w:rsidR="00E53F3F" w:rsidRDefault="00E53F3F"/>
    <w:p w:rsidR="002F04F0" w:rsidRPr="00FB0D12" w:rsidRDefault="002F04F0" w:rsidP="002F04F0">
      <w:pPr>
        <w:rPr>
          <w:b/>
          <w:sz w:val="24"/>
          <w:szCs w:val="24"/>
        </w:rPr>
      </w:pPr>
      <w:r>
        <w:rPr>
          <w:b/>
          <w:sz w:val="24"/>
          <w:szCs w:val="24"/>
        </w:rPr>
        <w:t>II.VIVIENDA DE TURISMO RESIDENCIAL</w:t>
      </w:r>
    </w:p>
    <w:p w:rsidR="003F1C46" w:rsidRPr="00861C9B" w:rsidRDefault="002F04F0" w:rsidP="00861C9B">
      <w:pPr>
        <w:rPr>
          <w:b/>
          <w:sz w:val="24"/>
          <w:szCs w:val="24"/>
        </w:rPr>
      </w:pPr>
      <w:r w:rsidRPr="00E53F3F">
        <w:rPr>
          <w:b/>
          <w:sz w:val="24"/>
          <w:szCs w:val="24"/>
        </w:rPr>
        <w:t xml:space="preserve">II.1. </w:t>
      </w:r>
      <w:r w:rsidR="003F1C46" w:rsidRPr="00861C9B">
        <w:rPr>
          <w:b/>
          <w:sz w:val="24"/>
          <w:szCs w:val="24"/>
        </w:rPr>
        <w:t>Caracterización del fenómeno del turismo residencial</w:t>
      </w:r>
    </w:p>
    <w:p w:rsidR="003F1C46" w:rsidRDefault="003F1C46" w:rsidP="003F1C46">
      <w:pPr>
        <w:jc w:val="both"/>
      </w:pPr>
      <w:r>
        <w:t>El turismo residencial ha sido un impulsor tanto de la actividad económica como de cambios sociales y culturales en las regiones donde se ha desarrollado, si bien, la falta de planificación en las primeras décadas de su desarrollo ha centrado el debate en el problema de  la sostenibilidad. Se puede afirmar que el turismo residencial ha transformado el paisaje de las costas mediterráneas, ha ayudado a la modernización de estas localidades y ha contribuido a la creación de empleo y riqueza de las localidades donde se asienta.</w:t>
      </w:r>
    </w:p>
    <w:p w:rsidR="003F1C46" w:rsidRDefault="003F1C46" w:rsidP="003F1C46">
      <w:pPr>
        <w:jc w:val="both"/>
      </w:pPr>
      <w:r>
        <w:t>Desde el punto de vista económico se trata de un fenómeno complejo que aúna la actividad inmobiliaria con la turística residencial. El turista, una vez que alcanza un conocimiento y fidelidad elevado del destino, cambia el alojamiento turístico tradicional por una residencia propia y permanente en su destino habitual.</w:t>
      </w:r>
    </w:p>
    <w:p w:rsidR="003F1C46" w:rsidRDefault="003F1C46" w:rsidP="003F1C46">
      <w:pPr>
        <w:jc w:val="both"/>
      </w:pPr>
      <w:r>
        <w:t>“En la actualidad existe un debate no superado sobre el concepto de turismo residencial. Incide sobre esta problemática el hecho de la existencia de una multiplicidad de perspectivas que van desde análisis de percepción social a los de la base de la población residente, pasando por el tipo de usos de alojamientos” (Salvá, P.; 2011).</w:t>
      </w:r>
    </w:p>
    <w:p w:rsidR="003F1C46" w:rsidRDefault="003F1C46" w:rsidP="003F1C46">
      <w:pPr>
        <w:jc w:val="both"/>
      </w:pPr>
      <w:r>
        <w:t>Sin entrar en el debate conceptual sobre el turismo residencial, se va a considerar que los elementos que definen el turismo residencial son la duración de la estancia, el uso de una vivienda en propiedad para pasar las vacaciones o temporadas en el destino y el lugar de residencia del propietario.</w:t>
      </w:r>
    </w:p>
    <w:p w:rsidR="003F1C46" w:rsidRDefault="003F1C46" w:rsidP="003F1C46">
      <w:pPr>
        <w:jc w:val="both"/>
      </w:pPr>
      <w:r>
        <w:t xml:space="preserve">Dentro de la problemática compleja que subyace al concepto de turismo residencial, este trabajo, se va a centrar en identificar y cuantificar las transacciones de vivienda con potencial uso de turismo residencial, así como los posibles impactos económicos que la construcción </w:t>
      </w:r>
      <w:r w:rsidRPr="00545B3D">
        <w:t>de vivienda nueva para estos fines</w:t>
      </w:r>
      <w:r>
        <w:t xml:space="preserve"> puede tener para la Comunidad Autónoma de Andalucía. De este modo, se excluyen otros impactos relevantes como el gasto turístico, los gastos destinados a la urbanización, o a proveer de servicios públicos las zonas afectadas. </w:t>
      </w:r>
    </w:p>
    <w:p w:rsidR="00861C9B" w:rsidRDefault="00861C9B" w:rsidP="00861C9B">
      <w:pPr>
        <w:rPr>
          <w:b/>
          <w:i/>
        </w:rPr>
      </w:pPr>
    </w:p>
    <w:p w:rsidR="003F1C46" w:rsidRPr="00861C9B" w:rsidRDefault="003F1C46" w:rsidP="00861C9B">
      <w:pPr>
        <w:rPr>
          <w:b/>
          <w:i/>
        </w:rPr>
      </w:pPr>
      <w:r w:rsidRPr="00861C9B">
        <w:rPr>
          <w:b/>
          <w:i/>
        </w:rPr>
        <w:t>La vivienda para turismo residencial: Evolución de las transacciones</w:t>
      </w:r>
    </w:p>
    <w:p w:rsidR="003F1C46" w:rsidRDefault="003F1C46" w:rsidP="003F1C46">
      <w:pPr>
        <w:jc w:val="both"/>
      </w:pPr>
      <w:r>
        <w:t xml:space="preserve">Dada la imposibilidad de conocer, de forma concluyente, el uso de la vivienda que van a realizar los compradores, se ha optado por considerar como vivienda potencialmente de turismo residencial a todas aquellas que en el momento de la compra han sido adquiridas por no residentes en la provincia. Esto nos lleva a considerar las compras efectuadas por los residentes en el extranjero, los residentes en otras Comunidades Autónomas y los residentes en Andalucía </w:t>
      </w:r>
      <w:r>
        <w:lastRenderedPageBreak/>
        <w:t>que adquieren una vivienda una provincia andaluza distinta a la que residen. No obstante, quedan fuera los compradores de una vivienda vacacional o de segunda residencia que residen en la misma provincia donde efectúan la compraventa.</w:t>
      </w:r>
    </w:p>
    <w:p w:rsidR="009B4017" w:rsidRDefault="009B4017" w:rsidP="003F1C46">
      <w:pPr>
        <w:jc w:val="both"/>
      </w:pPr>
    </w:p>
    <w:tbl>
      <w:tblPr>
        <w:tblW w:w="8450" w:type="dxa"/>
        <w:tblCellMar>
          <w:left w:w="70" w:type="dxa"/>
          <w:right w:w="70" w:type="dxa"/>
        </w:tblCellMar>
        <w:tblLook w:val="04A0" w:firstRow="1" w:lastRow="0" w:firstColumn="1" w:lastColumn="0" w:noHBand="0" w:noVBand="1"/>
      </w:tblPr>
      <w:tblGrid>
        <w:gridCol w:w="1448"/>
        <w:gridCol w:w="1620"/>
        <w:gridCol w:w="1801"/>
        <w:gridCol w:w="1393"/>
        <w:gridCol w:w="2188"/>
      </w:tblGrid>
      <w:tr w:rsidR="003F1C46" w:rsidRPr="00861C9B" w:rsidTr="001D429A">
        <w:trPr>
          <w:trHeight w:val="272"/>
        </w:trPr>
        <w:tc>
          <w:tcPr>
            <w:tcW w:w="8450" w:type="dxa"/>
            <w:gridSpan w:val="5"/>
            <w:tcBorders>
              <w:top w:val="single" w:sz="2" w:space="0" w:color="70AD47" w:themeColor="accent6"/>
              <w:left w:val="nil"/>
              <w:bottom w:val="nil"/>
              <w:right w:val="nil"/>
            </w:tcBorders>
            <w:shd w:val="clear" w:color="auto" w:fill="auto"/>
            <w:noWrap/>
            <w:vAlign w:val="bottom"/>
            <w:hideMark/>
          </w:tcPr>
          <w:p w:rsidR="003F1C46" w:rsidRPr="00861C9B" w:rsidRDefault="003F1C46" w:rsidP="006252A9">
            <w:pPr>
              <w:spacing w:after="0" w:line="240" w:lineRule="auto"/>
              <w:rPr>
                <w:rFonts w:eastAsia="Times New Roman" w:cstheme="minorHAnsi"/>
                <w:b/>
                <w:sz w:val="20"/>
                <w:szCs w:val="20"/>
                <w:lang w:eastAsia="es-ES"/>
              </w:rPr>
            </w:pPr>
            <w:r w:rsidRPr="00861C9B">
              <w:rPr>
                <w:rFonts w:eastAsia="Times New Roman" w:cstheme="minorHAnsi"/>
                <w:b/>
                <w:sz w:val="20"/>
                <w:szCs w:val="20"/>
                <w:lang w:eastAsia="es-ES"/>
              </w:rPr>
              <w:t>Compraventa de viviendas para destino de turismo residencial en Andalucía 2007-2022</w:t>
            </w:r>
          </w:p>
        </w:tc>
      </w:tr>
      <w:tr w:rsidR="003F1C46" w:rsidRPr="00861C9B" w:rsidTr="001D429A">
        <w:trPr>
          <w:trHeight w:val="545"/>
        </w:trPr>
        <w:tc>
          <w:tcPr>
            <w:tcW w:w="1448"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rPr>
                <w:rFonts w:eastAsia="Times New Roman" w:cstheme="minorHAnsi"/>
                <w:sz w:val="18"/>
                <w:szCs w:val="18"/>
                <w:lang w:eastAsia="es-ES"/>
              </w:rPr>
            </w:pPr>
          </w:p>
        </w:tc>
        <w:tc>
          <w:tcPr>
            <w:tcW w:w="1620" w:type="dxa"/>
            <w:tcBorders>
              <w:top w:val="nil"/>
              <w:left w:val="nil"/>
              <w:bottom w:val="nil"/>
              <w:right w:val="nil"/>
            </w:tcBorders>
            <w:shd w:val="clear" w:color="auto" w:fill="E2EFD9" w:themeFill="accent6" w:themeFillTint="33"/>
            <w:noWrap/>
            <w:vAlign w:val="bottom"/>
            <w:hideMark/>
          </w:tcPr>
          <w:p w:rsidR="003F1C46" w:rsidRPr="00861C9B" w:rsidRDefault="003F1C46" w:rsidP="00480100">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Residentes en España</w:t>
            </w:r>
          </w:p>
        </w:tc>
        <w:tc>
          <w:tcPr>
            <w:tcW w:w="1801" w:type="dxa"/>
            <w:tcBorders>
              <w:top w:val="nil"/>
              <w:left w:val="nil"/>
              <w:bottom w:val="nil"/>
              <w:right w:val="nil"/>
            </w:tcBorders>
            <w:shd w:val="clear" w:color="auto" w:fill="E2EFD9" w:themeFill="accent6" w:themeFillTint="33"/>
            <w:noWrap/>
            <w:vAlign w:val="bottom"/>
            <w:hideMark/>
          </w:tcPr>
          <w:p w:rsidR="003F1C46" w:rsidRPr="00861C9B" w:rsidRDefault="003F1C46" w:rsidP="00480100">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No residentes en España</w:t>
            </w:r>
          </w:p>
        </w:tc>
        <w:tc>
          <w:tcPr>
            <w:tcW w:w="1393" w:type="dxa"/>
            <w:tcBorders>
              <w:top w:val="nil"/>
              <w:left w:val="nil"/>
              <w:bottom w:val="nil"/>
              <w:right w:val="nil"/>
            </w:tcBorders>
            <w:shd w:val="clear" w:color="auto" w:fill="E2EFD9" w:themeFill="accent6" w:themeFillTint="33"/>
            <w:noWrap/>
            <w:vAlign w:val="bottom"/>
            <w:hideMark/>
          </w:tcPr>
          <w:p w:rsidR="003F1C46" w:rsidRPr="00861C9B" w:rsidRDefault="003F1C46" w:rsidP="00480100">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Total</w:t>
            </w:r>
          </w:p>
        </w:tc>
        <w:tc>
          <w:tcPr>
            <w:tcW w:w="2185" w:type="dxa"/>
            <w:tcBorders>
              <w:top w:val="nil"/>
              <w:left w:val="nil"/>
              <w:bottom w:val="nil"/>
              <w:right w:val="nil"/>
            </w:tcBorders>
            <w:shd w:val="clear" w:color="auto" w:fill="E2EFD9" w:themeFill="accent6" w:themeFillTint="33"/>
            <w:noWrap/>
            <w:vAlign w:val="bottom"/>
            <w:hideMark/>
          </w:tcPr>
          <w:p w:rsidR="003F1C46" w:rsidRPr="00861C9B" w:rsidRDefault="003F1C46" w:rsidP="00480100">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 s/total transacciones</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2007</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23.325</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9.271</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32.596</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19,0</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2008</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18.373</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5.506</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23.879</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20,7</w:t>
            </w:r>
          </w:p>
        </w:tc>
      </w:tr>
      <w:tr w:rsidR="003F1C46" w:rsidRPr="00861C9B" w:rsidTr="007F0F03">
        <w:trPr>
          <w:trHeight w:val="248"/>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2009</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17.419</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3.872</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21.291</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23,8</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2010</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13.946</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3.823</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17.769</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20,0</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2011</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13.248</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4.499</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17.747</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26,4</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2012</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14.784</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5.923</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20.707</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29,1</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2013</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14.469</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7.157</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21.626</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36,8</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2014</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12.653</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9.899</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22.552</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32,2</w:t>
            </w:r>
          </w:p>
        </w:tc>
      </w:tr>
      <w:tr w:rsidR="003F1C46" w:rsidRPr="00861C9B" w:rsidTr="007F0F03">
        <w:trPr>
          <w:trHeight w:val="248"/>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2015</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12.487</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11.023</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23.510</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30,6</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2016</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12.171</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10.934</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23.105</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27,7</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2017</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14.102</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11.262</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25.364</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26,3</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2018</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17.401</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11.151</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28.552</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25,9</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2019</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17.311</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10.160</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27.471</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25,1</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2020</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13.295</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7.856</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21.151</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22,6</w:t>
            </w:r>
          </w:p>
        </w:tc>
      </w:tr>
      <w:tr w:rsidR="003F1C46" w:rsidRPr="00861C9B" w:rsidTr="007F0F03">
        <w:trPr>
          <w:trHeight w:val="248"/>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2021</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19.843</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12.796</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32.639</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24,3</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2022</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21.029</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16.934</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37.963</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26,7</w:t>
            </w:r>
          </w:p>
        </w:tc>
      </w:tr>
      <w:tr w:rsidR="003F1C46" w:rsidRPr="00861C9B" w:rsidTr="007F0F03">
        <w:trPr>
          <w:trHeight w:val="272"/>
        </w:trPr>
        <w:tc>
          <w:tcPr>
            <w:tcW w:w="1448" w:type="dxa"/>
            <w:tcBorders>
              <w:top w:val="nil"/>
              <w:left w:val="nil"/>
              <w:bottom w:val="nil"/>
              <w:right w:val="nil"/>
            </w:tcBorders>
            <w:shd w:val="clear" w:color="auto" w:fill="E2EFD9" w:themeFill="accent6" w:themeFillTint="33"/>
            <w:noWrap/>
            <w:vAlign w:val="bottom"/>
            <w:hideMark/>
          </w:tcPr>
          <w:p w:rsidR="003F1C46" w:rsidRPr="00861C9B" w:rsidRDefault="003F1C46" w:rsidP="006252A9">
            <w:pPr>
              <w:spacing w:after="0" w:line="240" w:lineRule="auto"/>
              <w:rPr>
                <w:rFonts w:eastAsia="Times New Roman" w:cstheme="minorHAnsi"/>
                <w:sz w:val="18"/>
                <w:szCs w:val="18"/>
                <w:lang w:eastAsia="es-ES"/>
              </w:rPr>
            </w:pPr>
            <w:r w:rsidRPr="00861C9B">
              <w:rPr>
                <w:rFonts w:eastAsia="Times New Roman" w:cstheme="minorHAnsi"/>
                <w:sz w:val="18"/>
                <w:szCs w:val="18"/>
                <w:lang w:eastAsia="es-ES"/>
              </w:rPr>
              <w:t>Total 2007-2022</w:t>
            </w:r>
          </w:p>
        </w:tc>
        <w:tc>
          <w:tcPr>
            <w:tcW w:w="1620"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255.856</w:t>
            </w:r>
          </w:p>
        </w:tc>
        <w:tc>
          <w:tcPr>
            <w:tcW w:w="1801"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142.066</w:t>
            </w:r>
          </w:p>
        </w:tc>
        <w:tc>
          <w:tcPr>
            <w:tcW w:w="1393"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397.922</w:t>
            </w:r>
          </w:p>
        </w:tc>
        <w:tc>
          <w:tcPr>
            <w:tcW w:w="2185" w:type="dxa"/>
            <w:tcBorders>
              <w:top w:val="nil"/>
              <w:left w:val="nil"/>
              <w:bottom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sz w:val="18"/>
                <w:szCs w:val="18"/>
                <w:lang w:eastAsia="es-ES"/>
              </w:rPr>
            </w:pPr>
            <w:r w:rsidRPr="00861C9B">
              <w:rPr>
                <w:rFonts w:eastAsia="Times New Roman" w:cstheme="minorHAnsi"/>
                <w:sz w:val="18"/>
                <w:szCs w:val="18"/>
                <w:lang w:eastAsia="es-ES"/>
              </w:rPr>
              <w:t>25,2</w:t>
            </w:r>
          </w:p>
        </w:tc>
      </w:tr>
      <w:tr w:rsidR="003F1C46" w:rsidRPr="00861C9B" w:rsidTr="007F0F03">
        <w:trPr>
          <w:trHeight w:val="272"/>
        </w:trPr>
        <w:tc>
          <w:tcPr>
            <w:tcW w:w="1448" w:type="dxa"/>
            <w:tcBorders>
              <w:top w:val="nil"/>
              <w:left w:val="nil"/>
              <w:right w:val="nil"/>
            </w:tcBorders>
            <w:shd w:val="clear" w:color="auto" w:fill="E2EFD9" w:themeFill="accent6" w:themeFillTint="33"/>
            <w:noWrap/>
            <w:vAlign w:val="bottom"/>
            <w:hideMark/>
          </w:tcPr>
          <w:p w:rsidR="003F1C46" w:rsidRPr="00861C9B" w:rsidRDefault="003F1C46" w:rsidP="006252A9">
            <w:pPr>
              <w:spacing w:after="0" w:line="240" w:lineRule="auto"/>
              <w:rPr>
                <w:rFonts w:eastAsia="Times New Roman" w:cstheme="minorHAnsi"/>
                <w:i/>
                <w:sz w:val="18"/>
                <w:szCs w:val="18"/>
                <w:lang w:eastAsia="es-ES"/>
              </w:rPr>
            </w:pPr>
            <w:r w:rsidRPr="00861C9B">
              <w:rPr>
                <w:rFonts w:eastAsia="Times New Roman" w:cstheme="minorHAnsi"/>
                <w:i/>
                <w:sz w:val="18"/>
                <w:szCs w:val="18"/>
                <w:lang w:eastAsia="es-ES"/>
              </w:rPr>
              <w:t>Promedio</w:t>
            </w:r>
          </w:p>
        </w:tc>
        <w:tc>
          <w:tcPr>
            <w:tcW w:w="1620" w:type="dxa"/>
            <w:tcBorders>
              <w:top w:val="nil"/>
              <w:left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i/>
                <w:sz w:val="18"/>
                <w:szCs w:val="18"/>
                <w:lang w:eastAsia="es-ES"/>
              </w:rPr>
            </w:pPr>
            <w:r w:rsidRPr="00861C9B">
              <w:rPr>
                <w:rFonts w:eastAsia="Times New Roman" w:cstheme="minorHAnsi"/>
                <w:i/>
                <w:sz w:val="18"/>
                <w:szCs w:val="18"/>
                <w:lang w:eastAsia="es-ES"/>
              </w:rPr>
              <w:t>15.991</w:t>
            </w:r>
          </w:p>
        </w:tc>
        <w:tc>
          <w:tcPr>
            <w:tcW w:w="1801" w:type="dxa"/>
            <w:tcBorders>
              <w:top w:val="nil"/>
              <w:left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i/>
                <w:sz w:val="18"/>
                <w:szCs w:val="18"/>
                <w:lang w:eastAsia="es-ES"/>
              </w:rPr>
            </w:pPr>
            <w:r w:rsidRPr="00861C9B">
              <w:rPr>
                <w:rFonts w:eastAsia="Times New Roman" w:cstheme="minorHAnsi"/>
                <w:i/>
                <w:sz w:val="18"/>
                <w:szCs w:val="18"/>
                <w:lang w:eastAsia="es-ES"/>
              </w:rPr>
              <w:t>8.879</w:t>
            </w:r>
          </w:p>
        </w:tc>
        <w:tc>
          <w:tcPr>
            <w:tcW w:w="1393" w:type="dxa"/>
            <w:tcBorders>
              <w:top w:val="nil"/>
              <w:left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i/>
                <w:sz w:val="18"/>
                <w:szCs w:val="18"/>
                <w:lang w:eastAsia="es-ES"/>
              </w:rPr>
            </w:pPr>
            <w:r w:rsidRPr="00861C9B">
              <w:rPr>
                <w:rFonts w:eastAsia="Times New Roman" w:cstheme="minorHAnsi"/>
                <w:i/>
                <w:sz w:val="18"/>
                <w:szCs w:val="18"/>
                <w:lang w:eastAsia="es-ES"/>
              </w:rPr>
              <w:t>24.870</w:t>
            </w:r>
          </w:p>
        </w:tc>
        <w:tc>
          <w:tcPr>
            <w:tcW w:w="2185" w:type="dxa"/>
            <w:tcBorders>
              <w:top w:val="nil"/>
              <w:left w:val="nil"/>
              <w:right w:val="nil"/>
            </w:tcBorders>
            <w:shd w:val="clear" w:color="auto" w:fill="auto"/>
            <w:noWrap/>
            <w:vAlign w:val="bottom"/>
            <w:hideMark/>
          </w:tcPr>
          <w:p w:rsidR="003F1C46" w:rsidRPr="00861C9B" w:rsidRDefault="003F1C46" w:rsidP="006252A9">
            <w:pPr>
              <w:spacing w:after="0" w:line="240" w:lineRule="auto"/>
              <w:jc w:val="right"/>
              <w:rPr>
                <w:rFonts w:eastAsia="Times New Roman" w:cstheme="minorHAnsi"/>
                <w:i/>
                <w:sz w:val="18"/>
                <w:szCs w:val="18"/>
                <w:lang w:eastAsia="es-ES"/>
              </w:rPr>
            </w:pPr>
            <w:r w:rsidRPr="00861C9B">
              <w:rPr>
                <w:rFonts w:eastAsia="Times New Roman" w:cstheme="minorHAnsi"/>
                <w:i/>
                <w:sz w:val="18"/>
                <w:szCs w:val="18"/>
                <w:lang w:eastAsia="es-ES"/>
              </w:rPr>
              <w:t>25,2</w:t>
            </w:r>
          </w:p>
        </w:tc>
      </w:tr>
      <w:tr w:rsidR="003F1C46" w:rsidRPr="00861C9B" w:rsidTr="001D429A">
        <w:trPr>
          <w:trHeight w:val="223"/>
        </w:trPr>
        <w:tc>
          <w:tcPr>
            <w:tcW w:w="8450" w:type="dxa"/>
            <w:gridSpan w:val="5"/>
            <w:tcBorders>
              <w:top w:val="nil"/>
              <w:left w:val="nil"/>
              <w:bottom w:val="single" w:sz="2" w:space="0" w:color="70AD47" w:themeColor="accent6"/>
              <w:right w:val="nil"/>
            </w:tcBorders>
            <w:shd w:val="clear" w:color="auto" w:fill="auto"/>
            <w:noWrap/>
            <w:vAlign w:val="bottom"/>
          </w:tcPr>
          <w:p w:rsidR="003F1C46" w:rsidRPr="00861C9B" w:rsidRDefault="003F1C46" w:rsidP="008644C9">
            <w:pPr>
              <w:spacing w:after="0" w:line="240" w:lineRule="auto"/>
              <w:rPr>
                <w:rFonts w:eastAsia="Times New Roman" w:cstheme="minorHAnsi"/>
                <w:sz w:val="16"/>
                <w:szCs w:val="16"/>
                <w:lang w:eastAsia="es-ES"/>
              </w:rPr>
            </w:pPr>
            <w:r w:rsidRPr="00861C9B">
              <w:rPr>
                <w:rFonts w:eastAsia="Times New Roman" w:cstheme="minorHAnsi"/>
                <w:sz w:val="16"/>
                <w:szCs w:val="16"/>
                <w:lang w:eastAsia="es-ES"/>
              </w:rPr>
              <w:t xml:space="preserve">Fuente: </w:t>
            </w:r>
            <w:r w:rsidRPr="00861C9B">
              <w:rPr>
                <w:rFonts w:eastAsia="Times New Roman" w:cstheme="minorHAnsi"/>
                <w:i/>
                <w:sz w:val="16"/>
                <w:szCs w:val="16"/>
                <w:lang w:eastAsia="es-ES"/>
              </w:rPr>
              <w:t>Analistas Económicos de Andalucía</w:t>
            </w:r>
            <w:r w:rsidRPr="00861C9B">
              <w:rPr>
                <w:rFonts w:eastAsia="Times New Roman" w:cstheme="minorHAnsi"/>
                <w:sz w:val="16"/>
                <w:szCs w:val="16"/>
                <w:lang w:eastAsia="es-ES"/>
              </w:rPr>
              <w:t xml:space="preserve"> a partir del Ministerio de Vivienda y Agen</w:t>
            </w:r>
            <w:r w:rsidR="008644C9">
              <w:rPr>
                <w:rFonts w:eastAsia="Times New Roman" w:cstheme="minorHAnsi"/>
                <w:sz w:val="16"/>
                <w:szCs w:val="16"/>
                <w:lang w:eastAsia="es-ES"/>
              </w:rPr>
              <w:t>d</w:t>
            </w:r>
            <w:r w:rsidRPr="00861C9B">
              <w:rPr>
                <w:rFonts w:eastAsia="Times New Roman" w:cstheme="minorHAnsi"/>
                <w:sz w:val="16"/>
                <w:szCs w:val="16"/>
                <w:lang w:eastAsia="es-ES"/>
              </w:rPr>
              <w:t>a Urbana.</w:t>
            </w:r>
          </w:p>
        </w:tc>
      </w:tr>
    </w:tbl>
    <w:p w:rsidR="003F1C46" w:rsidRDefault="003F1C46" w:rsidP="003F1C46"/>
    <w:p w:rsidR="003F1C46" w:rsidRDefault="003F1C46" w:rsidP="003F1C46">
      <w:pPr>
        <w:jc w:val="both"/>
      </w:pPr>
      <w:r>
        <w:t xml:space="preserve">Según las estimaciones de </w:t>
      </w:r>
      <w:r w:rsidR="00FF37A3" w:rsidRPr="00FF37A3">
        <w:rPr>
          <w:i/>
        </w:rPr>
        <w:t xml:space="preserve">Analistas </w:t>
      </w:r>
      <w:r w:rsidRPr="00FF37A3">
        <w:rPr>
          <w:i/>
        </w:rPr>
        <w:t>Económicos de Andalucía</w:t>
      </w:r>
      <w:r>
        <w:t xml:space="preserve"> a partir de la estadística que proporciona el Ministerio de Vivienda y Agenda Urbana, las transacciones de vivienda que pueden identificarse para turismo residencial desde 2007, alcanzaron su máximo en 2022 con 37.963 compraventas, lo que representa el 26,7% del total de las contabilizadas en Andalucía en el ejercicio. De las mencionadas transacciones, el 55,4% fueron adquiridas por residentes en España y el 44,6% por no residentes. </w:t>
      </w:r>
    </w:p>
    <w:p w:rsidR="003F1C46" w:rsidRDefault="003F1C46" w:rsidP="003F1C46">
      <w:pPr>
        <w:jc w:val="center"/>
      </w:pPr>
      <w:r w:rsidRPr="0085095B">
        <w:rPr>
          <w:noProof/>
          <w:lang w:eastAsia="es-ES"/>
        </w:rPr>
        <w:lastRenderedPageBreak/>
        <w:drawing>
          <wp:inline distT="0" distB="0" distL="0" distR="0" wp14:anchorId="5F9B62C7" wp14:editId="672951F8">
            <wp:extent cx="4572000" cy="3429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F1C46" w:rsidRDefault="003F1C46" w:rsidP="003F1C46">
      <w:pPr>
        <w:jc w:val="both"/>
      </w:pPr>
      <w:r>
        <w:t>Los niveles mínimos del período se localizan en los ejercicio 2010 y 2011, con cifras inferiores a las 18 mil, mientras que la mayor contribución al total de las transacciones realizadas en Andalucía se observa en el período 2013-2015, con pesos superiores al 30%. En promedio (2007-2022), las compras de vivienda para turismo residencial ascienden a 24.870, el 25,2% de las transacciones totales en Andalucía, de las que casi dos tercios las realizaron los residentes en España (64,3%) y el resto los no residentes.</w:t>
      </w:r>
    </w:p>
    <w:p w:rsidR="003F1C46" w:rsidRDefault="003F1C46" w:rsidP="003F1C46">
      <w:pPr>
        <w:jc w:val="center"/>
      </w:pPr>
      <w:r w:rsidRPr="0085095B">
        <w:rPr>
          <w:noProof/>
          <w:lang w:eastAsia="es-ES"/>
        </w:rPr>
        <w:drawing>
          <wp:inline distT="0" distB="0" distL="0" distR="0" wp14:anchorId="373A91FA" wp14:editId="5CFEF976">
            <wp:extent cx="4572000" cy="3429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73842" w:rsidRDefault="00861C9B" w:rsidP="002F04F0">
      <w:pPr>
        <w:rPr>
          <w:b/>
          <w:sz w:val="24"/>
          <w:szCs w:val="24"/>
        </w:rPr>
      </w:pPr>
      <w:r>
        <w:br w:type="page"/>
      </w:r>
      <w:r w:rsidR="00D73842">
        <w:rPr>
          <w:b/>
          <w:sz w:val="24"/>
          <w:szCs w:val="24"/>
        </w:rPr>
        <w:lastRenderedPageBreak/>
        <w:t>II.2. Impacto del turismo residencial en la economía andaluza</w:t>
      </w:r>
    </w:p>
    <w:p w:rsidR="002D158E" w:rsidRDefault="002D158E" w:rsidP="002D158E">
      <w:pPr>
        <w:jc w:val="both"/>
      </w:pPr>
      <w:r w:rsidRPr="002E1968">
        <w:t xml:space="preserve">De las diversas alternativas metodológicas que podrían aplicarse para abordar este tipo de análisis económico, el análisis intput-output es la más </w:t>
      </w:r>
      <w:r>
        <w:t>utilizada</w:t>
      </w:r>
      <w:r w:rsidRPr="002E1968">
        <w:t xml:space="preserve">. </w:t>
      </w:r>
      <w:r w:rsidRPr="00601D15">
        <w:t xml:space="preserve">Las relaciones intersectoriales que tienen lugar dentro del sistema económico </w:t>
      </w:r>
      <w:r w:rsidR="00A203B8">
        <w:t xml:space="preserve">provocan </w:t>
      </w:r>
      <w:r w:rsidRPr="00601D15">
        <w:t xml:space="preserve">un impacto adicional como consecuencia de los efectos multiplicadores generados sobre otras ramas de actividad con las que </w:t>
      </w:r>
      <w:r w:rsidR="00A203B8">
        <w:t xml:space="preserve">se </w:t>
      </w:r>
      <w:r w:rsidRPr="00601D15">
        <w:t xml:space="preserve">mantiene una relación de interdependencia. Para aproximar el impacto de este efecto dinamizador sobre la economía, se han utilizado las Tablas Input-Output de Andalucía 2016 (últimas disponibles), que permiten calcular los multiplicadores </w:t>
      </w:r>
      <w:r w:rsidR="00A203B8">
        <w:t>asociados a</w:t>
      </w:r>
      <w:r w:rsidRPr="00601D15">
        <w:t xml:space="preserve"> cualquier gasto inicial realizado para obtener el efecto acumulativo sobre la producción y obtener los requerimientos de empleo necesarios a tiempo completo a lo largo de un </w:t>
      </w:r>
      <w:r>
        <w:t>período de tiempo de referencia.</w:t>
      </w:r>
    </w:p>
    <w:p w:rsidR="002D158E" w:rsidRDefault="002D158E" w:rsidP="002D158E">
      <w:pPr>
        <w:jc w:val="both"/>
      </w:pPr>
      <w:r w:rsidRPr="002E1968">
        <w:t xml:space="preserve">Según las estimaciones de </w:t>
      </w:r>
      <w:r w:rsidRPr="00FF37A3">
        <w:rPr>
          <w:i/>
        </w:rPr>
        <w:t>Analistas Económicos de Andalucía</w:t>
      </w:r>
      <w:r>
        <w:t>,</w:t>
      </w:r>
      <w:r w:rsidRPr="002E1968">
        <w:t xml:space="preserve"> a partir de la estadística que proporciona el Ministerio de Vivienda y Agenda Urbana, las transacciones de vivienda que pueden identificarse para turismo residencial en 2022 </w:t>
      </w:r>
      <w:r>
        <w:t>ascendieron a</w:t>
      </w:r>
      <w:r w:rsidRPr="002E1968">
        <w:t xml:space="preserve"> 37.963 compraventas, lo que representa el 26,7% del total de las contabilizadas en Andalucía </w:t>
      </w:r>
      <w:r>
        <w:t>en dicho año</w:t>
      </w:r>
      <w:r w:rsidRPr="002E1968">
        <w:t xml:space="preserve">. </w:t>
      </w:r>
    </w:p>
    <w:p w:rsidR="002D158E" w:rsidRPr="002E1968" w:rsidRDefault="002D158E" w:rsidP="002D158E">
      <w:pPr>
        <w:jc w:val="both"/>
      </w:pPr>
      <w:r>
        <w:t xml:space="preserve">Para la estimación del impacto directo </w:t>
      </w:r>
      <w:r w:rsidR="008C30CB">
        <w:t xml:space="preserve">de la construcción de vivienda para </w:t>
      </w:r>
      <w:r>
        <w:t xml:space="preserve">turismo residencial se ha supuesto que en torno a una décima parte de </w:t>
      </w:r>
      <w:r w:rsidR="008C30CB">
        <w:t>estas</w:t>
      </w:r>
      <w:r>
        <w:t xml:space="preserve"> operaciones se corresponden con vivienda nueva, a tenor de la relación existente entre viviendas nuevas sobre el total de transacciones en 2022. Además, se han utilizado valores medios de </w:t>
      </w:r>
      <w:r w:rsidR="008C30CB">
        <w:t xml:space="preserve">las transacciones de </w:t>
      </w:r>
      <w:r>
        <w:t>vivienda nueva publicados por el Ministerio de Vivienda y Agenda Urbana, así como una estimación del coste de producción, que según estudios recientes situarían a este en torno al 50% del precio de venta.</w:t>
      </w:r>
    </w:p>
    <w:p w:rsidR="002D158E" w:rsidRPr="002E1968" w:rsidRDefault="002D158E" w:rsidP="002D158E">
      <w:pPr>
        <w:jc w:val="both"/>
      </w:pPr>
      <w:r>
        <w:t xml:space="preserve">De este modo, el impacto directo del turismo residencial asociado a la </w:t>
      </w:r>
      <w:r w:rsidR="00197048">
        <w:t xml:space="preserve">construcción de </w:t>
      </w:r>
      <w:r>
        <w:t xml:space="preserve">vivienda en Andalucía </w:t>
      </w:r>
      <w:r w:rsidRPr="002E1968">
        <w:t xml:space="preserve">asciende a </w:t>
      </w:r>
      <w:r>
        <w:t>445</w:t>
      </w:r>
      <w:r w:rsidRPr="002E1968">
        <w:t>,</w:t>
      </w:r>
      <w:r>
        <w:t>5</w:t>
      </w:r>
      <w:r w:rsidRPr="002E1968">
        <w:t xml:space="preserve"> millones de euros. Est</w:t>
      </w:r>
      <w:r>
        <w:t xml:space="preserve">e gasto </w:t>
      </w:r>
      <w:r w:rsidRPr="002E1968">
        <w:t xml:space="preserve">requeriría una producción adicional (impacto indirecto) para satisfacer el incremento de demanda </w:t>
      </w:r>
      <w:r w:rsidR="001922EF">
        <w:t xml:space="preserve">inicial </w:t>
      </w:r>
      <w:r w:rsidRPr="002E1968">
        <w:t xml:space="preserve">de </w:t>
      </w:r>
      <w:r>
        <w:t>272</w:t>
      </w:r>
      <w:r w:rsidRPr="002E1968">
        <w:t>,</w:t>
      </w:r>
      <w:r>
        <w:t>6</w:t>
      </w:r>
      <w:r w:rsidRPr="002E1968">
        <w:t xml:space="preserve"> millones de euros, </w:t>
      </w:r>
      <w:r w:rsidR="001922EF">
        <w:t xml:space="preserve">ascendiendo </w:t>
      </w:r>
      <w:r w:rsidRPr="002E1968">
        <w:t>la</w:t>
      </w:r>
      <w:r>
        <w:t xml:space="preserve"> producción total asociada </w:t>
      </w:r>
      <w:r w:rsidRPr="002E1968">
        <w:t xml:space="preserve">a </w:t>
      </w:r>
      <w:r>
        <w:t>815</w:t>
      </w:r>
      <w:r w:rsidRPr="002E1968">
        <w:t>,</w:t>
      </w:r>
      <w:r>
        <w:t>0 millones de euros (incluyendo 96,9 de impacto inducido</w:t>
      </w:r>
      <w:r w:rsidR="001922EF">
        <w:t>, derivado del consumo que se generaría a partir de las rentas salariales obtenidas de los empleos directos e indirectos</w:t>
      </w:r>
      <w:r>
        <w:t>)</w:t>
      </w:r>
      <w:r w:rsidRPr="002E1968">
        <w:t xml:space="preserve">. De este modo, </w:t>
      </w:r>
      <w:r w:rsidRPr="002E1968">
        <w:rPr>
          <w:lang w:val="es-ES_tradnl"/>
        </w:rPr>
        <w:t>este volumen de producción estaría reflejand</w:t>
      </w:r>
      <w:r>
        <w:rPr>
          <w:lang w:val="es-ES_tradnl"/>
        </w:rPr>
        <w:t>o un efecto multiplicador de 1,</w:t>
      </w:r>
      <w:r w:rsidR="00707DA1">
        <w:rPr>
          <w:lang w:val="es-ES_tradnl"/>
        </w:rPr>
        <w:t>83</w:t>
      </w:r>
      <w:r w:rsidRPr="002E1968">
        <w:rPr>
          <w:lang w:val="es-ES_tradnl"/>
        </w:rPr>
        <w:t xml:space="preserve">, es decir, que por cada euro gastado en </w:t>
      </w:r>
      <w:r w:rsidR="00707DA1">
        <w:rPr>
          <w:lang w:val="es-ES_tradnl"/>
        </w:rPr>
        <w:t xml:space="preserve">la construcción de </w:t>
      </w:r>
      <w:r>
        <w:rPr>
          <w:lang w:val="es-ES_tradnl"/>
        </w:rPr>
        <w:t xml:space="preserve">vivienda </w:t>
      </w:r>
      <w:r w:rsidR="00707DA1">
        <w:rPr>
          <w:lang w:val="es-ES_tradnl"/>
        </w:rPr>
        <w:t>para</w:t>
      </w:r>
      <w:r>
        <w:rPr>
          <w:lang w:val="es-ES_tradnl"/>
        </w:rPr>
        <w:t xml:space="preserve"> turismo residencial</w:t>
      </w:r>
      <w:r w:rsidRPr="002E1968">
        <w:rPr>
          <w:lang w:val="es-ES_tradnl"/>
        </w:rPr>
        <w:t xml:space="preserve"> se produciría un efecto arrastre adicional sobre la producción de 0,</w:t>
      </w:r>
      <w:r w:rsidR="00707DA1">
        <w:rPr>
          <w:lang w:val="es-ES_tradnl"/>
        </w:rPr>
        <w:t>83</w:t>
      </w:r>
      <w:r>
        <w:rPr>
          <w:lang w:val="es-ES_tradnl"/>
        </w:rPr>
        <w:t xml:space="preserve"> euros, suponiendo el impacto </w:t>
      </w:r>
      <w:r w:rsidR="00707DA1">
        <w:rPr>
          <w:lang w:val="es-ES_tradnl"/>
        </w:rPr>
        <w:t xml:space="preserve">derivado de </w:t>
      </w:r>
      <w:r w:rsidR="00E14998">
        <w:rPr>
          <w:lang w:val="es-ES_tradnl"/>
        </w:rPr>
        <w:t xml:space="preserve">la construcción de vivienda para turismo residencial el </w:t>
      </w:r>
      <w:r>
        <w:rPr>
          <w:lang w:val="es-ES_tradnl"/>
        </w:rPr>
        <w:t>0,4% del PIB regional.</w:t>
      </w:r>
    </w:p>
    <w:p w:rsidR="002D158E" w:rsidRDefault="002D158E" w:rsidP="002D158E">
      <w:pPr>
        <w:jc w:val="both"/>
      </w:pPr>
      <w:r w:rsidRPr="002E1968">
        <w:t xml:space="preserve">Además de la producción, resulta de interés considerar el impacto generado en términos de empleo. Así, para los niveles de producción que se han señalado, la economía </w:t>
      </w:r>
      <w:r>
        <w:t>andaluza</w:t>
      </w:r>
      <w:r w:rsidRPr="002E1968">
        <w:t xml:space="preserve"> requiere de la creación de </w:t>
      </w:r>
      <w:r>
        <w:t>4.419</w:t>
      </w:r>
      <w:r w:rsidRPr="002E1968">
        <w:t xml:space="preserve"> puestos de trabajo de forma directa. Además, los efectos indirectos </w:t>
      </w:r>
      <w:r w:rsidR="00707DA1">
        <w:t xml:space="preserve">e inducidos </w:t>
      </w:r>
      <w:r w:rsidRPr="002E1968">
        <w:t xml:space="preserve">por las relaciones que se establecen entre las distintas ramas de la economía </w:t>
      </w:r>
      <w:r>
        <w:t>regional</w:t>
      </w:r>
      <w:r w:rsidRPr="002E1968">
        <w:t xml:space="preserve"> generarían un incremento adicional del empleo, con lo que el efecto agregado sobre el empleo se cuantifica en </w:t>
      </w:r>
      <w:r>
        <w:t>7.456</w:t>
      </w:r>
      <w:r w:rsidRPr="002E1968">
        <w:t xml:space="preserve"> puestos de trabajo equivalentes a jorna</w:t>
      </w:r>
      <w:r>
        <w:t>da completa en términos anuales.</w:t>
      </w:r>
    </w:p>
    <w:p w:rsidR="009B4017" w:rsidRDefault="009B4017">
      <w:r>
        <w:br w:type="page"/>
      </w:r>
    </w:p>
    <w:p w:rsidR="00E14998" w:rsidRDefault="00E14998" w:rsidP="002D158E">
      <w:pPr>
        <w:jc w:val="both"/>
      </w:pPr>
    </w:p>
    <w:tbl>
      <w:tblPr>
        <w:tblW w:w="8504" w:type="dxa"/>
        <w:tblCellMar>
          <w:left w:w="70" w:type="dxa"/>
          <w:right w:w="70" w:type="dxa"/>
        </w:tblCellMar>
        <w:tblLook w:val="04A0" w:firstRow="1" w:lastRow="0" w:firstColumn="1" w:lastColumn="0" w:noHBand="0" w:noVBand="1"/>
      </w:tblPr>
      <w:tblGrid>
        <w:gridCol w:w="5219"/>
        <w:gridCol w:w="3285"/>
      </w:tblGrid>
      <w:tr w:rsidR="002D158E" w:rsidRPr="00F12A54" w:rsidTr="00E14998">
        <w:trPr>
          <w:trHeight w:val="182"/>
        </w:trPr>
        <w:tc>
          <w:tcPr>
            <w:tcW w:w="8504" w:type="dxa"/>
            <w:gridSpan w:val="2"/>
            <w:tcBorders>
              <w:top w:val="single" w:sz="2" w:space="0" w:color="70AD47" w:themeColor="accent6"/>
            </w:tcBorders>
            <w:shd w:val="clear" w:color="auto" w:fill="E2EFD9" w:themeFill="accent6" w:themeFillTint="33"/>
            <w:noWrap/>
            <w:vAlign w:val="bottom"/>
            <w:hideMark/>
          </w:tcPr>
          <w:p w:rsidR="002D158E" w:rsidRPr="00F12A54" w:rsidRDefault="002D158E" w:rsidP="00BF3DF7">
            <w:pPr>
              <w:jc w:val="both"/>
              <w:rPr>
                <w:b/>
                <w:bCs/>
                <w:sz w:val="16"/>
                <w:szCs w:val="16"/>
              </w:rPr>
            </w:pPr>
            <w:r w:rsidRPr="00F12A54">
              <w:rPr>
                <w:b/>
                <w:bCs/>
                <w:sz w:val="16"/>
                <w:szCs w:val="16"/>
              </w:rPr>
              <w:t xml:space="preserve">Impacto económico del turismo residencial </w:t>
            </w:r>
            <w:r>
              <w:rPr>
                <w:b/>
                <w:bCs/>
                <w:sz w:val="16"/>
                <w:szCs w:val="16"/>
              </w:rPr>
              <w:t xml:space="preserve">por </w:t>
            </w:r>
            <w:r w:rsidR="00BF3DF7">
              <w:rPr>
                <w:b/>
                <w:bCs/>
                <w:sz w:val="16"/>
                <w:szCs w:val="16"/>
              </w:rPr>
              <w:t>la construcción de vivienda</w:t>
            </w:r>
            <w:r>
              <w:rPr>
                <w:b/>
                <w:bCs/>
                <w:sz w:val="16"/>
                <w:szCs w:val="16"/>
              </w:rPr>
              <w:t xml:space="preserve"> </w:t>
            </w:r>
            <w:r w:rsidRPr="00F12A54">
              <w:rPr>
                <w:b/>
                <w:bCs/>
                <w:sz w:val="16"/>
                <w:szCs w:val="16"/>
              </w:rPr>
              <w:t>en Andalucía</w:t>
            </w:r>
          </w:p>
        </w:tc>
      </w:tr>
      <w:tr w:rsidR="002D158E" w:rsidRPr="00F12A54" w:rsidTr="00E14998">
        <w:trPr>
          <w:trHeight w:hRule="exact" w:val="227"/>
        </w:trPr>
        <w:tc>
          <w:tcPr>
            <w:tcW w:w="5219" w:type="dxa"/>
            <w:shd w:val="clear" w:color="auto" w:fill="auto"/>
            <w:noWrap/>
            <w:vAlign w:val="bottom"/>
            <w:hideMark/>
          </w:tcPr>
          <w:p w:rsidR="002D158E" w:rsidRPr="00F12A54" w:rsidRDefault="002D158E" w:rsidP="006252A9">
            <w:pPr>
              <w:jc w:val="both"/>
              <w:rPr>
                <w:sz w:val="16"/>
                <w:szCs w:val="16"/>
              </w:rPr>
            </w:pPr>
            <w:r w:rsidRPr="00F12A54">
              <w:rPr>
                <w:b/>
                <w:sz w:val="16"/>
                <w:szCs w:val="16"/>
              </w:rPr>
              <w:t xml:space="preserve">Inversión en vivienda nueva </w:t>
            </w:r>
            <w:r w:rsidR="00BF3DF7">
              <w:rPr>
                <w:b/>
                <w:sz w:val="16"/>
                <w:szCs w:val="16"/>
              </w:rPr>
              <w:t xml:space="preserve">para turismo </w:t>
            </w:r>
            <w:r w:rsidRPr="00F12A54">
              <w:rPr>
                <w:b/>
                <w:sz w:val="16"/>
                <w:szCs w:val="16"/>
              </w:rPr>
              <w:t>residencial</w:t>
            </w:r>
            <w:r w:rsidRPr="00F12A54">
              <w:rPr>
                <w:sz w:val="16"/>
                <w:szCs w:val="16"/>
              </w:rPr>
              <w:t xml:space="preserve"> (euros)</w:t>
            </w:r>
          </w:p>
        </w:tc>
        <w:tc>
          <w:tcPr>
            <w:tcW w:w="3285" w:type="dxa"/>
            <w:shd w:val="clear" w:color="auto" w:fill="auto"/>
            <w:noWrap/>
            <w:vAlign w:val="bottom"/>
            <w:hideMark/>
          </w:tcPr>
          <w:p w:rsidR="002D158E" w:rsidRPr="00F12A54" w:rsidRDefault="002D158E" w:rsidP="006252A9">
            <w:pPr>
              <w:jc w:val="right"/>
              <w:rPr>
                <w:sz w:val="16"/>
                <w:szCs w:val="16"/>
              </w:rPr>
            </w:pPr>
            <w:r w:rsidRPr="00F12A54">
              <w:rPr>
                <w:sz w:val="16"/>
                <w:szCs w:val="16"/>
              </w:rPr>
              <w:t>445.511.964</w:t>
            </w:r>
          </w:p>
        </w:tc>
      </w:tr>
      <w:tr w:rsidR="002D158E" w:rsidRPr="00F12A54" w:rsidTr="00E14998">
        <w:trPr>
          <w:trHeight w:hRule="exact" w:val="227"/>
        </w:trPr>
        <w:tc>
          <w:tcPr>
            <w:tcW w:w="5219" w:type="dxa"/>
            <w:shd w:val="clear" w:color="auto" w:fill="auto"/>
            <w:noWrap/>
            <w:vAlign w:val="bottom"/>
            <w:hideMark/>
          </w:tcPr>
          <w:p w:rsidR="002D158E" w:rsidRPr="00F12A54" w:rsidRDefault="002D158E" w:rsidP="006252A9">
            <w:pPr>
              <w:jc w:val="both"/>
              <w:rPr>
                <w:sz w:val="16"/>
                <w:szCs w:val="16"/>
              </w:rPr>
            </w:pPr>
            <w:r w:rsidRPr="00F12A54">
              <w:rPr>
                <w:b/>
                <w:sz w:val="16"/>
                <w:szCs w:val="16"/>
              </w:rPr>
              <w:t>Producción efectiva</w:t>
            </w:r>
            <w:r w:rsidRPr="00F12A54">
              <w:rPr>
                <w:sz w:val="16"/>
                <w:szCs w:val="16"/>
              </w:rPr>
              <w:t xml:space="preserve"> (euros)</w:t>
            </w:r>
          </w:p>
        </w:tc>
        <w:tc>
          <w:tcPr>
            <w:tcW w:w="3285" w:type="dxa"/>
            <w:shd w:val="clear" w:color="auto" w:fill="auto"/>
            <w:noWrap/>
            <w:vAlign w:val="bottom"/>
            <w:hideMark/>
          </w:tcPr>
          <w:p w:rsidR="002D158E" w:rsidRPr="00F12A54" w:rsidRDefault="002D158E" w:rsidP="006252A9">
            <w:pPr>
              <w:jc w:val="right"/>
              <w:rPr>
                <w:sz w:val="16"/>
                <w:szCs w:val="16"/>
              </w:rPr>
            </w:pPr>
            <w:r w:rsidRPr="00F12A54">
              <w:rPr>
                <w:sz w:val="16"/>
                <w:szCs w:val="16"/>
              </w:rPr>
              <w:t>814.976.903</w:t>
            </w:r>
          </w:p>
        </w:tc>
      </w:tr>
      <w:tr w:rsidR="002D158E" w:rsidRPr="00F12A54" w:rsidTr="00E14998">
        <w:trPr>
          <w:trHeight w:hRule="exact" w:val="227"/>
        </w:trPr>
        <w:tc>
          <w:tcPr>
            <w:tcW w:w="5219" w:type="dxa"/>
            <w:shd w:val="clear" w:color="auto" w:fill="auto"/>
            <w:noWrap/>
            <w:vAlign w:val="bottom"/>
          </w:tcPr>
          <w:p w:rsidR="002D158E" w:rsidRPr="00F12A54" w:rsidRDefault="002D158E" w:rsidP="006252A9">
            <w:pPr>
              <w:jc w:val="both"/>
              <w:rPr>
                <w:b/>
                <w:sz w:val="16"/>
                <w:szCs w:val="16"/>
              </w:rPr>
            </w:pPr>
            <w:r w:rsidRPr="00F12A54">
              <w:rPr>
                <w:b/>
                <w:sz w:val="16"/>
                <w:szCs w:val="16"/>
              </w:rPr>
              <w:t xml:space="preserve">VAB generado </w:t>
            </w:r>
            <w:r w:rsidRPr="00F12A54">
              <w:rPr>
                <w:sz w:val="16"/>
                <w:szCs w:val="16"/>
              </w:rPr>
              <w:t>(euros)</w:t>
            </w:r>
          </w:p>
        </w:tc>
        <w:tc>
          <w:tcPr>
            <w:tcW w:w="3285" w:type="dxa"/>
            <w:shd w:val="clear" w:color="auto" w:fill="auto"/>
            <w:noWrap/>
            <w:vAlign w:val="bottom"/>
          </w:tcPr>
          <w:p w:rsidR="002D158E" w:rsidRPr="00F12A54" w:rsidRDefault="002D158E" w:rsidP="006252A9">
            <w:pPr>
              <w:jc w:val="right"/>
              <w:rPr>
                <w:sz w:val="16"/>
                <w:szCs w:val="16"/>
              </w:rPr>
            </w:pPr>
            <w:r w:rsidRPr="00F12A54">
              <w:rPr>
                <w:sz w:val="16"/>
                <w:szCs w:val="16"/>
              </w:rPr>
              <w:t>393.760.110</w:t>
            </w:r>
          </w:p>
        </w:tc>
      </w:tr>
      <w:tr w:rsidR="002D158E" w:rsidRPr="00F12A54" w:rsidTr="00E14998">
        <w:trPr>
          <w:trHeight w:hRule="exact" w:val="227"/>
        </w:trPr>
        <w:tc>
          <w:tcPr>
            <w:tcW w:w="5219" w:type="dxa"/>
            <w:shd w:val="clear" w:color="auto" w:fill="auto"/>
            <w:noWrap/>
            <w:vAlign w:val="bottom"/>
            <w:hideMark/>
          </w:tcPr>
          <w:p w:rsidR="002D158E" w:rsidRPr="00F12A54" w:rsidRDefault="002D158E" w:rsidP="006252A9">
            <w:pPr>
              <w:jc w:val="both"/>
              <w:rPr>
                <w:sz w:val="16"/>
                <w:szCs w:val="16"/>
              </w:rPr>
            </w:pPr>
            <w:r w:rsidRPr="00F12A54">
              <w:rPr>
                <w:b/>
                <w:sz w:val="16"/>
                <w:szCs w:val="16"/>
              </w:rPr>
              <w:t>Empleo</w:t>
            </w:r>
            <w:r w:rsidRPr="00F12A54">
              <w:rPr>
                <w:sz w:val="16"/>
                <w:szCs w:val="16"/>
              </w:rPr>
              <w:t xml:space="preserve"> (puestos de trabajo equivalentes)</w:t>
            </w:r>
          </w:p>
        </w:tc>
        <w:tc>
          <w:tcPr>
            <w:tcW w:w="3285" w:type="dxa"/>
            <w:shd w:val="clear" w:color="auto" w:fill="auto"/>
            <w:noWrap/>
            <w:vAlign w:val="bottom"/>
            <w:hideMark/>
          </w:tcPr>
          <w:p w:rsidR="002D158E" w:rsidRPr="00F12A54" w:rsidRDefault="002D158E" w:rsidP="006252A9">
            <w:pPr>
              <w:jc w:val="right"/>
              <w:rPr>
                <w:sz w:val="16"/>
                <w:szCs w:val="16"/>
              </w:rPr>
            </w:pPr>
            <w:r w:rsidRPr="00F12A54">
              <w:rPr>
                <w:sz w:val="16"/>
                <w:szCs w:val="16"/>
              </w:rPr>
              <w:t>7.456</w:t>
            </w:r>
          </w:p>
        </w:tc>
      </w:tr>
      <w:tr w:rsidR="002D158E" w:rsidRPr="00F12A54" w:rsidTr="00E14998">
        <w:trPr>
          <w:trHeight w:hRule="exact" w:val="227"/>
        </w:trPr>
        <w:tc>
          <w:tcPr>
            <w:tcW w:w="5219" w:type="dxa"/>
            <w:shd w:val="clear" w:color="auto" w:fill="auto"/>
            <w:noWrap/>
            <w:vAlign w:val="bottom"/>
          </w:tcPr>
          <w:p w:rsidR="002D158E" w:rsidRPr="00F12A54" w:rsidRDefault="002D158E" w:rsidP="006252A9">
            <w:pPr>
              <w:jc w:val="both"/>
              <w:rPr>
                <w:b/>
                <w:sz w:val="16"/>
                <w:szCs w:val="16"/>
              </w:rPr>
            </w:pPr>
            <w:r w:rsidRPr="00F12A54">
              <w:rPr>
                <w:b/>
                <w:sz w:val="16"/>
                <w:szCs w:val="16"/>
              </w:rPr>
              <w:t xml:space="preserve">Participación en el PIB de Andalucía </w:t>
            </w:r>
            <w:r w:rsidRPr="00F12A54">
              <w:rPr>
                <w:sz w:val="16"/>
                <w:szCs w:val="16"/>
              </w:rPr>
              <w:t>(porcentajes)</w:t>
            </w:r>
          </w:p>
        </w:tc>
        <w:tc>
          <w:tcPr>
            <w:tcW w:w="3285" w:type="dxa"/>
            <w:shd w:val="clear" w:color="auto" w:fill="auto"/>
            <w:noWrap/>
            <w:vAlign w:val="bottom"/>
          </w:tcPr>
          <w:p w:rsidR="002D158E" w:rsidRPr="00F12A54" w:rsidRDefault="002D158E" w:rsidP="006252A9">
            <w:pPr>
              <w:jc w:val="right"/>
              <w:rPr>
                <w:sz w:val="16"/>
                <w:szCs w:val="16"/>
              </w:rPr>
            </w:pPr>
            <w:r w:rsidRPr="00F12A54">
              <w:rPr>
                <w:sz w:val="16"/>
                <w:szCs w:val="16"/>
              </w:rPr>
              <w:t>0,4</w:t>
            </w:r>
          </w:p>
        </w:tc>
      </w:tr>
      <w:tr w:rsidR="002D158E" w:rsidRPr="00F12A54" w:rsidTr="00E14998">
        <w:trPr>
          <w:trHeight w:hRule="exact" w:val="227"/>
        </w:trPr>
        <w:tc>
          <w:tcPr>
            <w:tcW w:w="8504" w:type="dxa"/>
            <w:gridSpan w:val="2"/>
            <w:tcBorders>
              <w:bottom w:val="single" w:sz="2" w:space="0" w:color="70AD47" w:themeColor="accent6"/>
            </w:tcBorders>
            <w:shd w:val="clear" w:color="auto" w:fill="auto"/>
            <w:noWrap/>
            <w:vAlign w:val="bottom"/>
            <w:hideMark/>
          </w:tcPr>
          <w:p w:rsidR="002D158E" w:rsidRPr="00F12A54" w:rsidRDefault="002D158E" w:rsidP="006252A9">
            <w:pPr>
              <w:jc w:val="both"/>
              <w:rPr>
                <w:sz w:val="16"/>
                <w:szCs w:val="16"/>
              </w:rPr>
            </w:pPr>
            <w:r w:rsidRPr="00F12A54">
              <w:rPr>
                <w:sz w:val="16"/>
                <w:szCs w:val="16"/>
              </w:rPr>
              <w:t xml:space="preserve">Fuente: </w:t>
            </w:r>
            <w:r w:rsidRPr="00823901">
              <w:rPr>
                <w:i/>
                <w:sz w:val="16"/>
                <w:szCs w:val="16"/>
              </w:rPr>
              <w:t>Analistas Económicos de Andalucía</w:t>
            </w:r>
            <w:r w:rsidRPr="00F12A54">
              <w:rPr>
                <w:sz w:val="16"/>
                <w:szCs w:val="16"/>
              </w:rPr>
              <w:t>.</w:t>
            </w:r>
          </w:p>
        </w:tc>
      </w:tr>
    </w:tbl>
    <w:p w:rsidR="002D158E" w:rsidRDefault="002D158E" w:rsidP="002D158E"/>
    <w:p w:rsidR="008465C5" w:rsidRDefault="008465C5" w:rsidP="008465C5">
      <w:pPr>
        <w:jc w:val="both"/>
      </w:pPr>
      <w:r>
        <w:t xml:space="preserve">A </w:t>
      </w:r>
      <w:r w:rsidR="007710E8">
        <w:t>estos</w:t>
      </w:r>
      <w:r>
        <w:t xml:space="preserve"> impactos derivados de la vivienda residencial hay que añadir los vinculados a la recaudación que se obtiene de las transacciones de vivienda. En este aspecto hay que distinguir entre la que procede de las transacciones de vivienda nueva, sujeta al IVA, y las transacciones de vivienda usada, sujeta al ITP.</w:t>
      </w:r>
    </w:p>
    <w:p w:rsidR="008465C5" w:rsidRDefault="008465C5" w:rsidP="008465C5">
      <w:pPr>
        <w:jc w:val="both"/>
      </w:pPr>
      <w:r>
        <w:t xml:space="preserve">Según las estimaciones efectuadas por </w:t>
      </w:r>
      <w:r w:rsidRPr="00FF37A3">
        <w:rPr>
          <w:i/>
        </w:rPr>
        <w:t>Analistas Económicos de Andalucía</w:t>
      </w:r>
      <w:r>
        <w:t>, el valor de las transacciones de vivienda nueva adquiridas para un uso potencial d</w:t>
      </w:r>
      <w:r w:rsidR="003106E0">
        <w:t xml:space="preserve">e turismo residencial asciende en torno a </w:t>
      </w:r>
      <w:r>
        <w:t>8</w:t>
      </w:r>
      <w:r w:rsidR="003106E0">
        <w:t>90</w:t>
      </w:r>
      <w:r>
        <w:t xml:space="preserve"> millones de euros para el ejercicio 2022, lo que cifra el IVA repercutido en </w:t>
      </w:r>
      <w:r w:rsidR="003106E0">
        <w:t xml:space="preserve">unos </w:t>
      </w:r>
      <w:r>
        <w:t>8</w:t>
      </w:r>
      <w:r w:rsidR="003106E0">
        <w:t>9</w:t>
      </w:r>
      <w:r>
        <w:t xml:space="preserve"> millones de euros en 2022. De este importe, resulta complejo identificar </w:t>
      </w:r>
      <w:r w:rsidR="003106E0">
        <w:t xml:space="preserve">la cuantía que </w:t>
      </w:r>
      <w:r>
        <w:t>se incorpora a la financiación de la Comunidad Autónoma Andaluza. Por lo que respecta al Impuesto de Transmisiones Patrimoniales, al aplicar el tipo impositivo del 7% al valor de las transacciones de vivienda usada para turismo residencial, se obtiene una recaudación de 391,8 millones para el ejercicio 2022.</w:t>
      </w:r>
    </w:p>
    <w:p w:rsidR="008465C5" w:rsidRDefault="008465C5" w:rsidP="008465C5"/>
    <w:p w:rsidR="00E53F3F" w:rsidRDefault="00E53F3F"/>
    <w:sectPr w:rsidR="00E53F3F" w:rsidSect="0054429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2A9" w:rsidRDefault="006252A9" w:rsidP="006E5BFD">
      <w:pPr>
        <w:spacing w:after="0" w:line="240" w:lineRule="auto"/>
      </w:pPr>
      <w:r>
        <w:separator/>
      </w:r>
    </w:p>
  </w:endnote>
  <w:endnote w:type="continuationSeparator" w:id="0">
    <w:p w:rsidR="006252A9" w:rsidRDefault="006252A9" w:rsidP="006E5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BM Plex Sans SemiBold">
    <w:altName w:val="IBM Plex Sans SemiBold"/>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559128"/>
      <w:docPartObj>
        <w:docPartGallery w:val="Page Numbers (Bottom of Page)"/>
        <w:docPartUnique/>
      </w:docPartObj>
    </w:sdtPr>
    <w:sdtEndPr/>
    <w:sdtContent>
      <w:p w:rsidR="006252A9" w:rsidRDefault="006252A9">
        <w:pPr>
          <w:pStyle w:val="Piedepgina"/>
          <w:jc w:val="right"/>
        </w:pPr>
        <w:r>
          <w:fldChar w:fldCharType="begin"/>
        </w:r>
        <w:r>
          <w:instrText>PAGE   \* MERGEFORMAT</w:instrText>
        </w:r>
        <w:r>
          <w:fldChar w:fldCharType="separate"/>
        </w:r>
        <w:r w:rsidR="00C159E9">
          <w:rPr>
            <w:noProof/>
          </w:rPr>
          <w:t>53</w:t>
        </w:r>
        <w:r>
          <w:fldChar w:fldCharType="end"/>
        </w:r>
      </w:p>
    </w:sdtContent>
  </w:sdt>
  <w:p w:rsidR="006252A9" w:rsidRDefault="006252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2A9" w:rsidRDefault="006252A9" w:rsidP="006E5BFD">
      <w:pPr>
        <w:spacing w:after="0" w:line="240" w:lineRule="auto"/>
      </w:pPr>
      <w:r>
        <w:separator/>
      </w:r>
    </w:p>
  </w:footnote>
  <w:footnote w:type="continuationSeparator" w:id="0">
    <w:p w:rsidR="006252A9" w:rsidRDefault="006252A9" w:rsidP="006E5BFD">
      <w:pPr>
        <w:spacing w:after="0" w:line="240" w:lineRule="auto"/>
      </w:pPr>
      <w:r>
        <w:continuationSeparator/>
      </w:r>
    </w:p>
  </w:footnote>
  <w:footnote w:id="1">
    <w:p w:rsidR="006252A9" w:rsidRDefault="006252A9" w:rsidP="000E0D3D">
      <w:pPr>
        <w:autoSpaceDE w:val="0"/>
        <w:autoSpaceDN w:val="0"/>
        <w:adjustRightInd w:val="0"/>
        <w:spacing w:after="0" w:line="240" w:lineRule="auto"/>
        <w:jc w:val="both"/>
      </w:pPr>
      <w:r>
        <w:rPr>
          <w:rStyle w:val="Refdenotaalpie"/>
        </w:rPr>
        <w:footnoteRef/>
      </w:r>
      <w:r>
        <w:t xml:space="preserve"> </w:t>
      </w:r>
      <w:r w:rsidRPr="002A64CF">
        <w:rPr>
          <w:sz w:val="18"/>
          <w:szCs w:val="18"/>
        </w:rPr>
        <w:t>Aquellas destinadas a ser habitadas por una o varias personas que constituyan un colectivo, independientemente de los vínculos existentes entre ellas.</w:t>
      </w:r>
    </w:p>
  </w:footnote>
  <w:footnote w:id="2">
    <w:p w:rsidR="006252A9" w:rsidRDefault="006252A9" w:rsidP="002A64CF">
      <w:pPr>
        <w:pStyle w:val="Textonotapie"/>
      </w:pPr>
      <w:r>
        <w:rPr>
          <w:rStyle w:val="Refdenotaalpie"/>
        </w:rPr>
        <w:footnoteRef/>
      </w:r>
      <w:r>
        <w:t xml:space="preserve"> </w:t>
      </w:r>
      <w:r w:rsidRPr="002A64CF">
        <w:rPr>
          <w:sz w:val="18"/>
          <w:szCs w:val="18"/>
        </w:rPr>
        <w:t>Incluye inversiones reales y transferencias de capital.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6D" w:rsidRDefault="00E2326D">
    <w:pPr>
      <w:pStyle w:val="Encabezado"/>
    </w:pPr>
    <w:r w:rsidRPr="003A428D">
      <w:rPr>
        <w:noProof/>
        <w:lang w:eastAsia="es-ES"/>
      </w:rPr>
      <w:drawing>
        <wp:anchor distT="0" distB="0" distL="114300" distR="114300" simplePos="0" relativeHeight="251658240" behindDoc="1" locked="0" layoutInCell="1" allowOverlap="1">
          <wp:simplePos x="0" y="0"/>
          <wp:positionH relativeFrom="rightMargin">
            <wp:posOffset>397143</wp:posOffset>
          </wp:positionH>
          <wp:positionV relativeFrom="paragraph">
            <wp:posOffset>-295034</wp:posOffset>
          </wp:positionV>
          <wp:extent cx="549468" cy="707033"/>
          <wp:effectExtent l="0" t="0" r="3175" b="0"/>
          <wp:wrapNone/>
          <wp:docPr id="36" name="Imagen 36" descr="AeaColorCa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eaColorCala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4609" cy="7136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24F40"/>
    <w:multiLevelType w:val="multilevel"/>
    <w:tmpl w:val="15DA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7F0F43"/>
    <w:multiLevelType w:val="hybridMultilevel"/>
    <w:tmpl w:val="8460CF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FAA77A3"/>
    <w:multiLevelType w:val="hybridMultilevel"/>
    <w:tmpl w:val="08E6D766"/>
    <w:lvl w:ilvl="0" w:tplc="66A06152">
      <w:start w:val="3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EC673DA"/>
    <w:multiLevelType w:val="hybridMultilevel"/>
    <w:tmpl w:val="FA66E520"/>
    <w:lvl w:ilvl="0" w:tplc="6EAC352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F21177A"/>
    <w:multiLevelType w:val="hybridMultilevel"/>
    <w:tmpl w:val="CC7C6498"/>
    <w:lvl w:ilvl="0" w:tplc="BF04837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4B35769"/>
    <w:multiLevelType w:val="hybridMultilevel"/>
    <w:tmpl w:val="C6680E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A0A2B3D"/>
    <w:multiLevelType w:val="hybridMultilevel"/>
    <w:tmpl w:val="6D92015A"/>
    <w:lvl w:ilvl="0" w:tplc="4FE67F98">
      <w:numFmt w:val="bullet"/>
      <w:lvlText w:val="-"/>
      <w:lvlJc w:val="left"/>
      <w:pPr>
        <w:ind w:left="785" w:hanging="360"/>
      </w:pPr>
      <w:rPr>
        <w:rFonts w:ascii="Calibri" w:eastAsia="Times New Roman" w:hAnsi="Calibri" w:cs="Calibri"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691"/>
    <w:rsid w:val="000060FC"/>
    <w:rsid w:val="0002231D"/>
    <w:rsid w:val="000362DA"/>
    <w:rsid w:val="00050AEC"/>
    <w:rsid w:val="00053222"/>
    <w:rsid w:val="000546C6"/>
    <w:rsid w:val="00085F61"/>
    <w:rsid w:val="000917B8"/>
    <w:rsid w:val="00092BAB"/>
    <w:rsid w:val="00094098"/>
    <w:rsid w:val="0009478E"/>
    <w:rsid w:val="000B1457"/>
    <w:rsid w:val="000B1B03"/>
    <w:rsid w:val="000D6A48"/>
    <w:rsid w:val="000D7211"/>
    <w:rsid w:val="000E0D3D"/>
    <w:rsid w:val="000F5444"/>
    <w:rsid w:val="000F6471"/>
    <w:rsid w:val="000F70C3"/>
    <w:rsid w:val="000F7B19"/>
    <w:rsid w:val="00113BF8"/>
    <w:rsid w:val="001179C3"/>
    <w:rsid w:val="00127E42"/>
    <w:rsid w:val="00134EBA"/>
    <w:rsid w:val="0014351C"/>
    <w:rsid w:val="00145A4A"/>
    <w:rsid w:val="00151B03"/>
    <w:rsid w:val="00167EAD"/>
    <w:rsid w:val="00170ED1"/>
    <w:rsid w:val="00171073"/>
    <w:rsid w:val="00173A42"/>
    <w:rsid w:val="0017424D"/>
    <w:rsid w:val="001773EF"/>
    <w:rsid w:val="00184351"/>
    <w:rsid w:val="00190272"/>
    <w:rsid w:val="001922EF"/>
    <w:rsid w:val="00192DEB"/>
    <w:rsid w:val="00192ED6"/>
    <w:rsid w:val="00197048"/>
    <w:rsid w:val="001A0D54"/>
    <w:rsid w:val="001B0D58"/>
    <w:rsid w:val="001B6007"/>
    <w:rsid w:val="001C1927"/>
    <w:rsid w:val="001C2CA0"/>
    <w:rsid w:val="001C32DD"/>
    <w:rsid w:val="001C4B39"/>
    <w:rsid w:val="001C7971"/>
    <w:rsid w:val="001D429A"/>
    <w:rsid w:val="001D4B8D"/>
    <w:rsid w:val="001E3361"/>
    <w:rsid w:val="001E4B82"/>
    <w:rsid w:val="001F0E7D"/>
    <w:rsid w:val="001F1B1B"/>
    <w:rsid w:val="0020363C"/>
    <w:rsid w:val="0020365A"/>
    <w:rsid w:val="00203933"/>
    <w:rsid w:val="00204150"/>
    <w:rsid w:val="00207546"/>
    <w:rsid w:val="00210065"/>
    <w:rsid w:val="002172FC"/>
    <w:rsid w:val="0022212A"/>
    <w:rsid w:val="002259B4"/>
    <w:rsid w:val="00227EE0"/>
    <w:rsid w:val="00235A5C"/>
    <w:rsid w:val="00241CD1"/>
    <w:rsid w:val="00242D91"/>
    <w:rsid w:val="00280460"/>
    <w:rsid w:val="0028216A"/>
    <w:rsid w:val="00283C24"/>
    <w:rsid w:val="002856FB"/>
    <w:rsid w:val="002905A0"/>
    <w:rsid w:val="00293D15"/>
    <w:rsid w:val="0029747A"/>
    <w:rsid w:val="002A07B3"/>
    <w:rsid w:val="002A64CF"/>
    <w:rsid w:val="002B08EB"/>
    <w:rsid w:val="002B353F"/>
    <w:rsid w:val="002B3863"/>
    <w:rsid w:val="002B629F"/>
    <w:rsid w:val="002C2F0E"/>
    <w:rsid w:val="002C3F3E"/>
    <w:rsid w:val="002D0D38"/>
    <w:rsid w:val="002D158E"/>
    <w:rsid w:val="002E1CFF"/>
    <w:rsid w:val="002E3A70"/>
    <w:rsid w:val="002E6429"/>
    <w:rsid w:val="002F04F0"/>
    <w:rsid w:val="002F4056"/>
    <w:rsid w:val="0030466D"/>
    <w:rsid w:val="003048F9"/>
    <w:rsid w:val="00305C63"/>
    <w:rsid w:val="00306367"/>
    <w:rsid w:val="00307D76"/>
    <w:rsid w:val="003106E0"/>
    <w:rsid w:val="00311BB2"/>
    <w:rsid w:val="00313872"/>
    <w:rsid w:val="0031411F"/>
    <w:rsid w:val="00314E57"/>
    <w:rsid w:val="00317C38"/>
    <w:rsid w:val="00330EC1"/>
    <w:rsid w:val="00331CDB"/>
    <w:rsid w:val="0033332E"/>
    <w:rsid w:val="0033764C"/>
    <w:rsid w:val="003405F2"/>
    <w:rsid w:val="00341776"/>
    <w:rsid w:val="00344F9B"/>
    <w:rsid w:val="00346E13"/>
    <w:rsid w:val="0034722E"/>
    <w:rsid w:val="00354559"/>
    <w:rsid w:val="0035535D"/>
    <w:rsid w:val="003559A5"/>
    <w:rsid w:val="00364D0C"/>
    <w:rsid w:val="00381B79"/>
    <w:rsid w:val="00384235"/>
    <w:rsid w:val="00384960"/>
    <w:rsid w:val="00384E73"/>
    <w:rsid w:val="00386E7A"/>
    <w:rsid w:val="00387703"/>
    <w:rsid w:val="00392DD4"/>
    <w:rsid w:val="003A463F"/>
    <w:rsid w:val="003A4C10"/>
    <w:rsid w:val="003A5054"/>
    <w:rsid w:val="003A5FE2"/>
    <w:rsid w:val="003A6F21"/>
    <w:rsid w:val="003B1BE2"/>
    <w:rsid w:val="003C0503"/>
    <w:rsid w:val="003D3013"/>
    <w:rsid w:val="003D56FE"/>
    <w:rsid w:val="003F0619"/>
    <w:rsid w:val="003F1283"/>
    <w:rsid w:val="003F1C46"/>
    <w:rsid w:val="003F5952"/>
    <w:rsid w:val="00401B16"/>
    <w:rsid w:val="00404261"/>
    <w:rsid w:val="004119A0"/>
    <w:rsid w:val="00414C68"/>
    <w:rsid w:val="004207E5"/>
    <w:rsid w:val="00421D4A"/>
    <w:rsid w:val="00422442"/>
    <w:rsid w:val="004237B8"/>
    <w:rsid w:val="00425EE4"/>
    <w:rsid w:val="00426F97"/>
    <w:rsid w:val="0042723B"/>
    <w:rsid w:val="004274D4"/>
    <w:rsid w:val="00427CFB"/>
    <w:rsid w:val="0043670A"/>
    <w:rsid w:val="00437DDE"/>
    <w:rsid w:val="004427A9"/>
    <w:rsid w:val="00454025"/>
    <w:rsid w:val="004603CA"/>
    <w:rsid w:val="00462FE4"/>
    <w:rsid w:val="00465810"/>
    <w:rsid w:val="0047019B"/>
    <w:rsid w:val="00470B64"/>
    <w:rsid w:val="00475EA5"/>
    <w:rsid w:val="00480100"/>
    <w:rsid w:val="00484364"/>
    <w:rsid w:val="00491304"/>
    <w:rsid w:val="004B09F1"/>
    <w:rsid w:val="004B6199"/>
    <w:rsid w:val="004B6427"/>
    <w:rsid w:val="004C2039"/>
    <w:rsid w:val="004C4E63"/>
    <w:rsid w:val="004D26E4"/>
    <w:rsid w:val="004D67CB"/>
    <w:rsid w:val="004D78A5"/>
    <w:rsid w:val="004E2652"/>
    <w:rsid w:val="004F0FF3"/>
    <w:rsid w:val="004F7705"/>
    <w:rsid w:val="00511A8F"/>
    <w:rsid w:val="005128FB"/>
    <w:rsid w:val="00512C00"/>
    <w:rsid w:val="005202CF"/>
    <w:rsid w:val="00530206"/>
    <w:rsid w:val="00537184"/>
    <w:rsid w:val="005419D9"/>
    <w:rsid w:val="0054429C"/>
    <w:rsid w:val="00552B59"/>
    <w:rsid w:val="00552DEA"/>
    <w:rsid w:val="00553F64"/>
    <w:rsid w:val="00556343"/>
    <w:rsid w:val="00557392"/>
    <w:rsid w:val="00561395"/>
    <w:rsid w:val="00561835"/>
    <w:rsid w:val="00583C80"/>
    <w:rsid w:val="00591870"/>
    <w:rsid w:val="00593341"/>
    <w:rsid w:val="00597149"/>
    <w:rsid w:val="005A27BE"/>
    <w:rsid w:val="005A6FAE"/>
    <w:rsid w:val="005B6F20"/>
    <w:rsid w:val="005C3ECA"/>
    <w:rsid w:val="005D0888"/>
    <w:rsid w:val="005D6D25"/>
    <w:rsid w:val="005E07B6"/>
    <w:rsid w:val="005E3ABB"/>
    <w:rsid w:val="005F2434"/>
    <w:rsid w:val="005F710B"/>
    <w:rsid w:val="00601897"/>
    <w:rsid w:val="006064F8"/>
    <w:rsid w:val="00607AF3"/>
    <w:rsid w:val="00610B46"/>
    <w:rsid w:val="00614BBD"/>
    <w:rsid w:val="006252A9"/>
    <w:rsid w:val="00631215"/>
    <w:rsid w:val="006406D6"/>
    <w:rsid w:val="006479AC"/>
    <w:rsid w:val="00652EBE"/>
    <w:rsid w:val="00655D3D"/>
    <w:rsid w:val="00656C01"/>
    <w:rsid w:val="00660A46"/>
    <w:rsid w:val="00666147"/>
    <w:rsid w:val="0067690A"/>
    <w:rsid w:val="00684497"/>
    <w:rsid w:val="00687A53"/>
    <w:rsid w:val="00691FB2"/>
    <w:rsid w:val="00695294"/>
    <w:rsid w:val="00697771"/>
    <w:rsid w:val="006A01D8"/>
    <w:rsid w:val="006A700E"/>
    <w:rsid w:val="006B2DB1"/>
    <w:rsid w:val="006B6E50"/>
    <w:rsid w:val="006C146B"/>
    <w:rsid w:val="006C2359"/>
    <w:rsid w:val="006C5EF0"/>
    <w:rsid w:val="006D12E2"/>
    <w:rsid w:val="006D346F"/>
    <w:rsid w:val="006E2F13"/>
    <w:rsid w:val="006E5BFD"/>
    <w:rsid w:val="006F13EE"/>
    <w:rsid w:val="006F1B5F"/>
    <w:rsid w:val="006F24D7"/>
    <w:rsid w:val="006F337C"/>
    <w:rsid w:val="006F3AF6"/>
    <w:rsid w:val="00701566"/>
    <w:rsid w:val="007028DD"/>
    <w:rsid w:val="007079F1"/>
    <w:rsid w:val="00707DA1"/>
    <w:rsid w:val="007133A4"/>
    <w:rsid w:val="007142C6"/>
    <w:rsid w:val="00717B0B"/>
    <w:rsid w:val="007300E1"/>
    <w:rsid w:val="007301FA"/>
    <w:rsid w:val="00731287"/>
    <w:rsid w:val="00735451"/>
    <w:rsid w:val="00737418"/>
    <w:rsid w:val="007456C9"/>
    <w:rsid w:val="0074667E"/>
    <w:rsid w:val="00750A1B"/>
    <w:rsid w:val="00751264"/>
    <w:rsid w:val="0075546B"/>
    <w:rsid w:val="0075642C"/>
    <w:rsid w:val="007710E8"/>
    <w:rsid w:val="007741A3"/>
    <w:rsid w:val="00776EE9"/>
    <w:rsid w:val="00780691"/>
    <w:rsid w:val="007B0B2A"/>
    <w:rsid w:val="007B5A1A"/>
    <w:rsid w:val="007B5D31"/>
    <w:rsid w:val="007D11EB"/>
    <w:rsid w:val="007D365A"/>
    <w:rsid w:val="007E3B61"/>
    <w:rsid w:val="007F0F03"/>
    <w:rsid w:val="007F4E74"/>
    <w:rsid w:val="007F569C"/>
    <w:rsid w:val="008005C2"/>
    <w:rsid w:val="00811D03"/>
    <w:rsid w:val="00823901"/>
    <w:rsid w:val="008302C3"/>
    <w:rsid w:val="0083334F"/>
    <w:rsid w:val="0083425C"/>
    <w:rsid w:val="0084059A"/>
    <w:rsid w:val="008415CA"/>
    <w:rsid w:val="0084464C"/>
    <w:rsid w:val="008465C5"/>
    <w:rsid w:val="00850B7A"/>
    <w:rsid w:val="0085184B"/>
    <w:rsid w:val="00851E58"/>
    <w:rsid w:val="008523BA"/>
    <w:rsid w:val="00853E7B"/>
    <w:rsid w:val="00854033"/>
    <w:rsid w:val="0085444A"/>
    <w:rsid w:val="008555CA"/>
    <w:rsid w:val="00861C9B"/>
    <w:rsid w:val="0086369E"/>
    <w:rsid w:val="008644C9"/>
    <w:rsid w:val="00870F47"/>
    <w:rsid w:val="008716DC"/>
    <w:rsid w:val="00872B24"/>
    <w:rsid w:val="00880C2C"/>
    <w:rsid w:val="00883A5C"/>
    <w:rsid w:val="0088547B"/>
    <w:rsid w:val="00886B04"/>
    <w:rsid w:val="008931EA"/>
    <w:rsid w:val="008A5134"/>
    <w:rsid w:val="008B1FF9"/>
    <w:rsid w:val="008B2731"/>
    <w:rsid w:val="008C28B5"/>
    <w:rsid w:val="008C30CB"/>
    <w:rsid w:val="008D1B46"/>
    <w:rsid w:val="008E1019"/>
    <w:rsid w:val="008E1CB9"/>
    <w:rsid w:val="008E789C"/>
    <w:rsid w:val="008F5A30"/>
    <w:rsid w:val="008F6D83"/>
    <w:rsid w:val="008F7DC0"/>
    <w:rsid w:val="009038E5"/>
    <w:rsid w:val="00907030"/>
    <w:rsid w:val="00907301"/>
    <w:rsid w:val="00910460"/>
    <w:rsid w:val="009143D5"/>
    <w:rsid w:val="00931D48"/>
    <w:rsid w:val="00932426"/>
    <w:rsid w:val="0093435D"/>
    <w:rsid w:val="009347D1"/>
    <w:rsid w:val="00936380"/>
    <w:rsid w:val="0093684D"/>
    <w:rsid w:val="00942A35"/>
    <w:rsid w:val="0094690A"/>
    <w:rsid w:val="0094774C"/>
    <w:rsid w:val="00947BD3"/>
    <w:rsid w:val="009506DF"/>
    <w:rsid w:val="0095355C"/>
    <w:rsid w:val="0095667C"/>
    <w:rsid w:val="00961044"/>
    <w:rsid w:val="0096475E"/>
    <w:rsid w:val="009663EB"/>
    <w:rsid w:val="00966E33"/>
    <w:rsid w:val="00970ABD"/>
    <w:rsid w:val="00970DB3"/>
    <w:rsid w:val="009745AE"/>
    <w:rsid w:val="00986CB9"/>
    <w:rsid w:val="00992E19"/>
    <w:rsid w:val="00994B35"/>
    <w:rsid w:val="00995F87"/>
    <w:rsid w:val="009A0446"/>
    <w:rsid w:val="009A28C6"/>
    <w:rsid w:val="009A3341"/>
    <w:rsid w:val="009B4017"/>
    <w:rsid w:val="009B4501"/>
    <w:rsid w:val="009B7B27"/>
    <w:rsid w:val="009C1016"/>
    <w:rsid w:val="009C12CC"/>
    <w:rsid w:val="009C397F"/>
    <w:rsid w:val="009C6DC2"/>
    <w:rsid w:val="009D2E12"/>
    <w:rsid w:val="009E0119"/>
    <w:rsid w:val="009E2D0A"/>
    <w:rsid w:val="009F4E4B"/>
    <w:rsid w:val="009F7BE9"/>
    <w:rsid w:val="00A00554"/>
    <w:rsid w:val="00A0485B"/>
    <w:rsid w:val="00A06298"/>
    <w:rsid w:val="00A06B4D"/>
    <w:rsid w:val="00A203B8"/>
    <w:rsid w:val="00A20A5C"/>
    <w:rsid w:val="00A227A8"/>
    <w:rsid w:val="00A247FD"/>
    <w:rsid w:val="00A35CAB"/>
    <w:rsid w:val="00A37B4E"/>
    <w:rsid w:val="00A4286F"/>
    <w:rsid w:val="00A43F20"/>
    <w:rsid w:val="00A54E14"/>
    <w:rsid w:val="00A57A97"/>
    <w:rsid w:val="00A65184"/>
    <w:rsid w:val="00A73527"/>
    <w:rsid w:val="00A7438D"/>
    <w:rsid w:val="00A765FE"/>
    <w:rsid w:val="00A83E03"/>
    <w:rsid w:val="00A83E50"/>
    <w:rsid w:val="00A84172"/>
    <w:rsid w:val="00A8427C"/>
    <w:rsid w:val="00A85E3C"/>
    <w:rsid w:val="00AA76F9"/>
    <w:rsid w:val="00AC49B0"/>
    <w:rsid w:val="00AC6959"/>
    <w:rsid w:val="00AC71D9"/>
    <w:rsid w:val="00AD514F"/>
    <w:rsid w:val="00AE0656"/>
    <w:rsid w:val="00AE2099"/>
    <w:rsid w:val="00AE2A92"/>
    <w:rsid w:val="00AE67A2"/>
    <w:rsid w:val="00AF081D"/>
    <w:rsid w:val="00AF1FB8"/>
    <w:rsid w:val="00B02C4E"/>
    <w:rsid w:val="00B03AFF"/>
    <w:rsid w:val="00B13E9C"/>
    <w:rsid w:val="00B154D7"/>
    <w:rsid w:val="00B206BB"/>
    <w:rsid w:val="00B32959"/>
    <w:rsid w:val="00B3785F"/>
    <w:rsid w:val="00B4483F"/>
    <w:rsid w:val="00B465B9"/>
    <w:rsid w:val="00B473A4"/>
    <w:rsid w:val="00B50276"/>
    <w:rsid w:val="00B52AA2"/>
    <w:rsid w:val="00B637E6"/>
    <w:rsid w:val="00B64899"/>
    <w:rsid w:val="00B64FED"/>
    <w:rsid w:val="00B70582"/>
    <w:rsid w:val="00B70D79"/>
    <w:rsid w:val="00B90572"/>
    <w:rsid w:val="00B94C41"/>
    <w:rsid w:val="00B96DE2"/>
    <w:rsid w:val="00BA1218"/>
    <w:rsid w:val="00BB2B40"/>
    <w:rsid w:val="00BC3170"/>
    <w:rsid w:val="00BD30DA"/>
    <w:rsid w:val="00BD3365"/>
    <w:rsid w:val="00BE6FBD"/>
    <w:rsid w:val="00BF0EB0"/>
    <w:rsid w:val="00BF2154"/>
    <w:rsid w:val="00BF31F7"/>
    <w:rsid w:val="00BF3DF7"/>
    <w:rsid w:val="00C029AA"/>
    <w:rsid w:val="00C04B5F"/>
    <w:rsid w:val="00C07689"/>
    <w:rsid w:val="00C07E80"/>
    <w:rsid w:val="00C15265"/>
    <w:rsid w:val="00C159E9"/>
    <w:rsid w:val="00C2460B"/>
    <w:rsid w:val="00C255E0"/>
    <w:rsid w:val="00C322A2"/>
    <w:rsid w:val="00C32368"/>
    <w:rsid w:val="00C32A78"/>
    <w:rsid w:val="00C33264"/>
    <w:rsid w:val="00C40EA4"/>
    <w:rsid w:val="00C4754B"/>
    <w:rsid w:val="00C50B34"/>
    <w:rsid w:val="00C7309F"/>
    <w:rsid w:val="00C779F9"/>
    <w:rsid w:val="00C81E61"/>
    <w:rsid w:val="00C82336"/>
    <w:rsid w:val="00C8327B"/>
    <w:rsid w:val="00C839B6"/>
    <w:rsid w:val="00C85C87"/>
    <w:rsid w:val="00CA177B"/>
    <w:rsid w:val="00CA3EB1"/>
    <w:rsid w:val="00CB1657"/>
    <w:rsid w:val="00CB7419"/>
    <w:rsid w:val="00CC3525"/>
    <w:rsid w:val="00CC568F"/>
    <w:rsid w:val="00CD15D0"/>
    <w:rsid w:val="00CD4B02"/>
    <w:rsid w:val="00CD5EF4"/>
    <w:rsid w:val="00CD6495"/>
    <w:rsid w:val="00CF0F89"/>
    <w:rsid w:val="00CF2AF3"/>
    <w:rsid w:val="00CF523F"/>
    <w:rsid w:val="00D17AA0"/>
    <w:rsid w:val="00D20F69"/>
    <w:rsid w:val="00D21FDA"/>
    <w:rsid w:val="00D22016"/>
    <w:rsid w:val="00D26F88"/>
    <w:rsid w:val="00D40789"/>
    <w:rsid w:val="00D41ACA"/>
    <w:rsid w:val="00D44DFD"/>
    <w:rsid w:val="00D473CC"/>
    <w:rsid w:val="00D47AB9"/>
    <w:rsid w:val="00D54088"/>
    <w:rsid w:val="00D649A3"/>
    <w:rsid w:val="00D735FB"/>
    <w:rsid w:val="00D73842"/>
    <w:rsid w:val="00D93EE8"/>
    <w:rsid w:val="00D943CC"/>
    <w:rsid w:val="00DA6CC0"/>
    <w:rsid w:val="00DB48EA"/>
    <w:rsid w:val="00DC255B"/>
    <w:rsid w:val="00DC79DF"/>
    <w:rsid w:val="00DD1A48"/>
    <w:rsid w:val="00DD5221"/>
    <w:rsid w:val="00DE26B7"/>
    <w:rsid w:val="00DE49B0"/>
    <w:rsid w:val="00DF3AD0"/>
    <w:rsid w:val="00DF43D6"/>
    <w:rsid w:val="00DF4883"/>
    <w:rsid w:val="00DF58D6"/>
    <w:rsid w:val="00DF7E54"/>
    <w:rsid w:val="00E02545"/>
    <w:rsid w:val="00E053E5"/>
    <w:rsid w:val="00E058C9"/>
    <w:rsid w:val="00E0678E"/>
    <w:rsid w:val="00E12C13"/>
    <w:rsid w:val="00E14998"/>
    <w:rsid w:val="00E1570F"/>
    <w:rsid w:val="00E2326D"/>
    <w:rsid w:val="00E254C4"/>
    <w:rsid w:val="00E33970"/>
    <w:rsid w:val="00E354B3"/>
    <w:rsid w:val="00E36D68"/>
    <w:rsid w:val="00E46E3D"/>
    <w:rsid w:val="00E504C0"/>
    <w:rsid w:val="00E53F3F"/>
    <w:rsid w:val="00E80E77"/>
    <w:rsid w:val="00E8181A"/>
    <w:rsid w:val="00E83073"/>
    <w:rsid w:val="00E9580F"/>
    <w:rsid w:val="00EA2D1A"/>
    <w:rsid w:val="00EB311C"/>
    <w:rsid w:val="00ED3FA7"/>
    <w:rsid w:val="00EE37B1"/>
    <w:rsid w:val="00EE6E05"/>
    <w:rsid w:val="00EF17F8"/>
    <w:rsid w:val="00EF47FD"/>
    <w:rsid w:val="00F032A7"/>
    <w:rsid w:val="00F14DB4"/>
    <w:rsid w:val="00F20C49"/>
    <w:rsid w:val="00F31CE2"/>
    <w:rsid w:val="00F32723"/>
    <w:rsid w:val="00F4121A"/>
    <w:rsid w:val="00F42635"/>
    <w:rsid w:val="00F454AB"/>
    <w:rsid w:val="00F45896"/>
    <w:rsid w:val="00F51E01"/>
    <w:rsid w:val="00F53A83"/>
    <w:rsid w:val="00F5486F"/>
    <w:rsid w:val="00F5737F"/>
    <w:rsid w:val="00F66343"/>
    <w:rsid w:val="00F73ED5"/>
    <w:rsid w:val="00F77888"/>
    <w:rsid w:val="00F913A9"/>
    <w:rsid w:val="00F9411E"/>
    <w:rsid w:val="00FA12D6"/>
    <w:rsid w:val="00FA6570"/>
    <w:rsid w:val="00FB0D12"/>
    <w:rsid w:val="00FB1A93"/>
    <w:rsid w:val="00FB4BB1"/>
    <w:rsid w:val="00FB5E40"/>
    <w:rsid w:val="00FB7FDD"/>
    <w:rsid w:val="00FD0C6E"/>
    <w:rsid w:val="00FD166C"/>
    <w:rsid w:val="00FD24A7"/>
    <w:rsid w:val="00FD4AC9"/>
    <w:rsid w:val="00FE5224"/>
    <w:rsid w:val="00FF37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DCE11C68-58C5-4ED3-9006-1087DB5D8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B0D12"/>
    <w:pPr>
      <w:ind w:left="720"/>
      <w:contextualSpacing/>
    </w:pPr>
  </w:style>
  <w:style w:type="paragraph" w:styleId="Encabezado">
    <w:name w:val="header"/>
    <w:basedOn w:val="Normal"/>
    <w:link w:val="EncabezadoCar"/>
    <w:uiPriority w:val="99"/>
    <w:unhideWhenUsed/>
    <w:rsid w:val="006E5B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5BFD"/>
  </w:style>
  <w:style w:type="paragraph" w:styleId="Piedepgina">
    <w:name w:val="footer"/>
    <w:basedOn w:val="Normal"/>
    <w:link w:val="PiedepginaCar"/>
    <w:uiPriority w:val="99"/>
    <w:unhideWhenUsed/>
    <w:rsid w:val="006E5B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5BFD"/>
  </w:style>
  <w:style w:type="paragraph" w:customStyle="1" w:styleId="Default">
    <w:name w:val="Default"/>
    <w:rsid w:val="00F454AB"/>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42244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2442"/>
    <w:rPr>
      <w:rFonts w:ascii="Segoe UI" w:hAnsi="Segoe UI" w:cs="Segoe UI"/>
      <w:sz w:val="18"/>
      <w:szCs w:val="18"/>
    </w:rPr>
  </w:style>
  <w:style w:type="character" w:styleId="Textoennegrita">
    <w:name w:val="Strong"/>
    <w:basedOn w:val="Fuentedeprrafopredeter"/>
    <w:uiPriority w:val="22"/>
    <w:qFormat/>
    <w:rsid w:val="007456C9"/>
    <w:rPr>
      <w:b/>
      <w:bCs/>
    </w:rPr>
  </w:style>
  <w:style w:type="character" w:styleId="Hipervnculo">
    <w:name w:val="Hyperlink"/>
    <w:basedOn w:val="Fuentedeprrafopredeter"/>
    <w:uiPriority w:val="99"/>
    <w:semiHidden/>
    <w:unhideWhenUsed/>
    <w:rsid w:val="007456C9"/>
    <w:rPr>
      <w:color w:val="0000FF"/>
      <w:u w:val="single"/>
    </w:rPr>
  </w:style>
  <w:style w:type="paragraph" w:customStyle="1" w:styleId="Pa0">
    <w:name w:val="Pa0"/>
    <w:basedOn w:val="Default"/>
    <w:next w:val="Default"/>
    <w:uiPriority w:val="99"/>
    <w:rsid w:val="00731287"/>
    <w:pPr>
      <w:spacing w:line="201" w:lineRule="atLeast"/>
    </w:pPr>
    <w:rPr>
      <w:rFonts w:ascii="IBM Plex Sans SemiBold" w:hAnsi="IBM Plex Sans SemiBold" w:cstheme="minorBidi"/>
      <w:color w:val="auto"/>
    </w:rPr>
  </w:style>
  <w:style w:type="paragraph" w:styleId="Textonotapie">
    <w:name w:val="footnote text"/>
    <w:basedOn w:val="Normal"/>
    <w:link w:val="TextonotapieCar"/>
    <w:uiPriority w:val="99"/>
    <w:semiHidden/>
    <w:unhideWhenUsed/>
    <w:rsid w:val="000E0D3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0D3D"/>
    <w:rPr>
      <w:sz w:val="20"/>
      <w:szCs w:val="20"/>
    </w:rPr>
  </w:style>
  <w:style w:type="character" w:styleId="Refdenotaalpie">
    <w:name w:val="footnote reference"/>
    <w:basedOn w:val="Fuentedeprrafopredeter"/>
    <w:uiPriority w:val="99"/>
    <w:semiHidden/>
    <w:unhideWhenUsed/>
    <w:rsid w:val="000E0D3D"/>
    <w:rPr>
      <w:vertAlign w:val="superscript"/>
    </w:rPr>
  </w:style>
  <w:style w:type="table" w:styleId="Tablaconcuadrcula">
    <w:name w:val="Table Grid"/>
    <w:basedOn w:val="Tablanormal"/>
    <w:uiPriority w:val="39"/>
    <w:rsid w:val="00553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article-item-iteration">
    <w:name w:val="pb-article-item-iteration"/>
    <w:basedOn w:val="Normal"/>
    <w:rsid w:val="00553F64"/>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29945">
      <w:bodyDiv w:val="1"/>
      <w:marLeft w:val="0"/>
      <w:marRight w:val="0"/>
      <w:marTop w:val="0"/>
      <w:marBottom w:val="0"/>
      <w:divBdr>
        <w:top w:val="none" w:sz="0" w:space="0" w:color="auto"/>
        <w:left w:val="none" w:sz="0" w:space="0" w:color="auto"/>
        <w:bottom w:val="none" w:sz="0" w:space="0" w:color="auto"/>
        <w:right w:val="none" w:sz="0" w:space="0" w:color="auto"/>
      </w:divBdr>
    </w:div>
    <w:div w:id="496270006">
      <w:bodyDiv w:val="1"/>
      <w:marLeft w:val="0"/>
      <w:marRight w:val="0"/>
      <w:marTop w:val="0"/>
      <w:marBottom w:val="0"/>
      <w:divBdr>
        <w:top w:val="none" w:sz="0" w:space="0" w:color="auto"/>
        <w:left w:val="none" w:sz="0" w:space="0" w:color="auto"/>
        <w:bottom w:val="none" w:sz="0" w:space="0" w:color="auto"/>
        <w:right w:val="none" w:sz="0" w:space="0" w:color="auto"/>
      </w:divBdr>
    </w:div>
    <w:div w:id="619840833">
      <w:bodyDiv w:val="1"/>
      <w:marLeft w:val="0"/>
      <w:marRight w:val="0"/>
      <w:marTop w:val="0"/>
      <w:marBottom w:val="0"/>
      <w:divBdr>
        <w:top w:val="none" w:sz="0" w:space="0" w:color="auto"/>
        <w:left w:val="none" w:sz="0" w:space="0" w:color="auto"/>
        <w:bottom w:val="none" w:sz="0" w:space="0" w:color="auto"/>
        <w:right w:val="none" w:sz="0" w:space="0" w:color="auto"/>
      </w:divBdr>
    </w:div>
    <w:div w:id="1794981905">
      <w:bodyDiv w:val="1"/>
      <w:marLeft w:val="0"/>
      <w:marRight w:val="0"/>
      <w:marTop w:val="0"/>
      <w:marBottom w:val="0"/>
      <w:divBdr>
        <w:top w:val="none" w:sz="0" w:space="0" w:color="auto"/>
        <w:left w:val="none" w:sz="0" w:space="0" w:color="auto"/>
        <w:bottom w:val="none" w:sz="0" w:space="0" w:color="auto"/>
        <w:right w:val="none" w:sz="0" w:space="0" w:color="auto"/>
      </w:divBdr>
    </w:div>
    <w:div w:id="195089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1.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5.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3.emf"/></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60AF7-8914-44F6-844A-287D799A0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55</Pages>
  <Words>19366</Words>
  <Characters>106513</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159</cp:revision>
  <cp:lastPrinted>2024-02-23T11:17:00Z</cp:lastPrinted>
  <dcterms:created xsi:type="dcterms:W3CDTF">2024-02-19T17:06:00Z</dcterms:created>
  <dcterms:modified xsi:type="dcterms:W3CDTF">2024-02-26T12:01:00Z</dcterms:modified>
</cp:coreProperties>
</file>